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FA31B">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baseline"/>
        <w:rPr>
          <w:rFonts w:hint="eastAsia" w:cs="宋体"/>
          <w:bCs w:val="0"/>
          <w:color w:val="auto"/>
          <w:kern w:val="0"/>
          <w:sz w:val="32"/>
          <w:szCs w:val="32"/>
          <w:highlight w:val="none"/>
        </w:rPr>
      </w:pPr>
    </w:p>
    <w:p w14:paraId="3DBE5659">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baseline"/>
        <w:rPr>
          <w:rFonts w:hint="eastAsia" w:cs="宋体"/>
          <w:bCs w:val="0"/>
          <w:color w:val="auto"/>
          <w:kern w:val="0"/>
          <w:sz w:val="32"/>
          <w:szCs w:val="32"/>
          <w:highlight w:val="none"/>
          <w:lang w:val="en-US" w:eastAsia="zh-CN"/>
        </w:rPr>
      </w:pPr>
      <w:r>
        <w:rPr>
          <w:rFonts w:hint="eastAsia" w:cs="宋体"/>
          <w:bCs w:val="0"/>
          <w:color w:val="auto"/>
          <w:kern w:val="0"/>
          <w:sz w:val="32"/>
          <w:szCs w:val="32"/>
          <w:highlight w:val="none"/>
        </w:rPr>
        <w:t>小鼠白细胞介素</w:t>
      </w:r>
      <w:r>
        <w:rPr>
          <w:rFonts w:hint="eastAsia" w:cs="宋体"/>
          <w:bCs w:val="0"/>
          <w:color w:val="auto"/>
          <w:kern w:val="0"/>
          <w:sz w:val="32"/>
          <w:szCs w:val="32"/>
          <w:highlight w:val="none"/>
          <w:lang w:eastAsia="zh-CN"/>
        </w:rPr>
        <w:t>1β</w:t>
      </w:r>
      <w:r>
        <w:rPr>
          <w:rFonts w:hint="eastAsia" w:cs="宋体"/>
          <w:bCs w:val="0"/>
          <w:color w:val="auto"/>
          <w:kern w:val="0"/>
          <w:sz w:val="32"/>
          <w:szCs w:val="32"/>
          <w:highlight w:val="none"/>
        </w:rPr>
        <w:t>(</w:t>
      </w:r>
      <w:r>
        <w:rPr>
          <w:rFonts w:hint="eastAsia" w:cs="宋体"/>
          <w:bCs w:val="0"/>
          <w:color w:val="auto"/>
          <w:kern w:val="0"/>
          <w:sz w:val="32"/>
          <w:szCs w:val="32"/>
          <w:highlight w:val="none"/>
          <w:lang w:eastAsia="zh-CN"/>
        </w:rPr>
        <w:t>IL-1β</w:t>
      </w:r>
      <w:r>
        <w:rPr>
          <w:rFonts w:hint="eastAsia" w:cs="宋体"/>
          <w:bCs w:val="0"/>
          <w:color w:val="auto"/>
          <w:kern w:val="0"/>
          <w:sz w:val="32"/>
          <w:szCs w:val="32"/>
          <w:highlight w:val="none"/>
        </w:rPr>
        <w:t>)</w:t>
      </w:r>
      <w:r>
        <w:rPr>
          <w:rFonts w:cs="宋体"/>
          <w:bCs w:val="0"/>
          <w:color w:val="auto"/>
          <w:kern w:val="0"/>
          <w:sz w:val="32"/>
          <w:szCs w:val="32"/>
          <w:highlight w:val="none"/>
        </w:rPr>
        <w:t>ELISA检测试剂盒</w:t>
      </w:r>
      <w:r>
        <w:rPr>
          <w:rFonts w:hint="eastAsia" w:cs="宋体"/>
          <w:bCs w:val="0"/>
          <w:color w:val="auto"/>
          <w:kern w:val="0"/>
          <w:sz w:val="32"/>
          <w:szCs w:val="32"/>
          <w:highlight w:val="none"/>
          <w:lang w:val="en-US" w:eastAsia="zh-CN"/>
        </w:rPr>
        <w:t>说明书</w:t>
      </w:r>
    </w:p>
    <w:p w14:paraId="531D40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1、试剂盒简介</w:t>
      </w:r>
    </w:p>
    <w:p w14:paraId="0AA1463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本试剂盒采用“双抗体夹心法”:将</w:t>
      </w:r>
      <w:r>
        <w:rPr>
          <w:rFonts w:hint="eastAsia" w:ascii="宋体" w:hAnsi="宋体" w:eastAsia="宋体" w:cs="宋体"/>
          <w:b w:val="0"/>
          <w:bCs/>
          <w:color w:val="auto"/>
          <w:sz w:val="24"/>
          <w:szCs w:val="24"/>
          <w:highlight w:val="none"/>
        </w:rPr>
        <w:t>小鼠白细胞介素</w:t>
      </w:r>
      <w:r>
        <w:rPr>
          <w:rFonts w:hint="eastAsia" w:ascii="宋体" w:hAnsi="宋体" w:eastAsia="宋体" w:cs="宋体"/>
          <w:b w:val="0"/>
          <w:bCs/>
          <w:color w:val="auto"/>
          <w:sz w:val="24"/>
          <w:szCs w:val="24"/>
          <w:highlight w:val="none"/>
          <w:lang w:eastAsia="zh-CN"/>
        </w:rPr>
        <w:t>1β</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IL-1β</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捕获抗体包被于酶标板上，捕获样品及标准品中的靶标，加入生物素标记的抗体与靶标结合，然后再加入酶结合物与生物素标记抗体结合，形成免疫复合物，加入TMB显色液后，若反应孔中有靶标则显蓝色，加入终止液变黄色，检测过程中游离的成分均被洗去，用酶标仪在450 nm处测OD值，颜色的深浅和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中的</w:t>
      </w:r>
      <w:r>
        <w:rPr>
          <w:rFonts w:hint="eastAsia" w:ascii="宋体" w:hAnsi="宋体" w:eastAsia="宋体" w:cs="宋体"/>
          <w:b w:val="0"/>
          <w:bCs/>
          <w:color w:val="auto"/>
          <w:sz w:val="24"/>
          <w:szCs w:val="24"/>
          <w:highlight w:val="none"/>
        </w:rPr>
        <w:t>小鼠白细胞介素</w:t>
      </w:r>
      <w:r>
        <w:rPr>
          <w:rFonts w:hint="eastAsia" w:ascii="宋体" w:hAnsi="宋体" w:eastAsia="宋体" w:cs="宋体"/>
          <w:b w:val="0"/>
          <w:bCs/>
          <w:color w:val="auto"/>
          <w:sz w:val="24"/>
          <w:szCs w:val="24"/>
          <w:highlight w:val="none"/>
          <w:lang w:eastAsia="zh-CN"/>
        </w:rPr>
        <w:t>1β</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IL-1β</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呈正比，通过绘制标准曲线计算出标本中</w:t>
      </w:r>
      <w:r>
        <w:rPr>
          <w:rFonts w:hint="eastAsia" w:ascii="宋体" w:hAnsi="宋体" w:eastAsia="宋体" w:cs="宋体"/>
          <w:b w:val="0"/>
          <w:bCs/>
          <w:color w:val="auto"/>
          <w:sz w:val="24"/>
          <w:szCs w:val="24"/>
          <w:highlight w:val="none"/>
          <w:lang w:eastAsia="zh-CN"/>
        </w:rPr>
        <w:t>1β</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IL-1β</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的浓度。</w:t>
      </w:r>
      <w:r>
        <w:rPr>
          <w:rFonts w:hint="eastAsia" w:asciiTheme="minorEastAsia" w:hAnsiTheme="minorEastAsia" w:eastAsiaTheme="minorEastAsia" w:cstheme="minorEastAsia"/>
          <w:color w:val="auto"/>
          <w:sz w:val="24"/>
          <w:szCs w:val="24"/>
          <w:highlight w:val="none"/>
          <w:lang w:val="en-US" w:eastAsia="zh-CN"/>
        </w:rPr>
        <w:t>本试剂盒检测范围为3.43-220pg/mL，检测灵敏度为1.57pg/mL。可检测样品中的小鼠</w:t>
      </w:r>
      <w:r>
        <w:rPr>
          <w:rFonts w:hint="eastAsia" w:ascii="宋体" w:hAnsi="宋体" w:eastAsia="宋体" w:cs="宋体"/>
          <w:b w:val="0"/>
          <w:bCs/>
          <w:color w:val="auto"/>
          <w:sz w:val="24"/>
          <w:szCs w:val="24"/>
          <w:highlight w:val="none"/>
          <w:lang w:eastAsia="zh-CN"/>
        </w:rPr>
        <w:t>1β</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IL-1β</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，且与其它类似物无明显交叉反应，板内，板间变异系数均&lt;10% 。</w:t>
      </w:r>
    </w:p>
    <w:p w14:paraId="4322E11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4681BF8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试剂盒组分</w:t>
      </w:r>
    </w:p>
    <w:tbl>
      <w:tblPr>
        <w:tblStyle w:val="6"/>
        <w:tblpPr w:leftFromText="180" w:rightFromText="180" w:vertAnchor="text" w:horzAnchor="page" w:tblpX="1194" w:tblpY="302"/>
        <w:tblOverlap w:val="never"/>
        <w:tblW w:w="9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365"/>
        <w:gridCol w:w="2927"/>
        <w:gridCol w:w="2827"/>
      </w:tblGrid>
      <w:tr w14:paraId="4786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bottom w:val="single" w:color="auto" w:sz="4" w:space="0"/>
            </w:tcBorders>
            <w:vAlign w:val="center"/>
          </w:tcPr>
          <w:p w14:paraId="5744FA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p>
        </w:tc>
        <w:tc>
          <w:tcPr>
            <w:tcW w:w="2927" w:type="dxa"/>
            <w:tcBorders>
              <w:top w:val="single" w:color="auto" w:sz="4" w:space="0"/>
              <w:bottom w:val="single" w:color="auto" w:sz="4" w:space="0"/>
            </w:tcBorders>
            <w:vAlign w:val="center"/>
          </w:tcPr>
          <w:p w14:paraId="0540EC7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规格（48T）</w:t>
            </w:r>
          </w:p>
        </w:tc>
        <w:tc>
          <w:tcPr>
            <w:tcW w:w="2827" w:type="dxa"/>
            <w:tcBorders>
              <w:top w:val="single" w:color="auto" w:sz="4" w:space="0"/>
              <w:bottom w:val="single" w:color="auto" w:sz="4" w:space="0"/>
            </w:tcBorders>
            <w:vAlign w:val="center"/>
          </w:tcPr>
          <w:p w14:paraId="037537C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规格（96T）</w:t>
            </w:r>
          </w:p>
        </w:tc>
      </w:tr>
      <w:tr w14:paraId="55F4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tcBorders>
            <w:vAlign w:val="center"/>
          </w:tcPr>
          <w:p w14:paraId="6C06852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预包被酶标板</w:t>
            </w:r>
          </w:p>
        </w:tc>
        <w:tc>
          <w:tcPr>
            <w:tcW w:w="2927" w:type="dxa"/>
            <w:tcBorders>
              <w:top w:val="single" w:color="auto" w:sz="4" w:space="0"/>
            </w:tcBorders>
            <w:vAlign w:val="center"/>
          </w:tcPr>
          <w:p w14:paraId="7BA0135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8孔×6条</w:t>
            </w:r>
          </w:p>
        </w:tc>
        <w:tc>
          <w:tcPr>
            <w:tcW w:w="2827" w:type="dxa"/>
            <w:tcBorders>
              <w:top w:val="single" w:color="auto" w:sz="4" w:space="0"/>
            </w:tcBorders>
            <w:vAlign w:val="center"/>
          </w:tcPr>
          <w:p w14:paraId="0E0B4FE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8孔×12条</w:t>
            </w:r>
          </w:p>
        </w:tc>
      </w:tr>
      <w:tr w14:paraId="0F69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80AFB1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w:t>
            </w:r>
          </w:p>
        </w:tc>
        <w:tc>
          <w:tcPr>
            <w:tcW w:w="2927" w:type="dxa"/>
            <w:vAlign w:val="center"/>
          </w:tcPr>
          <w:p w14:paraId="5FDD3CA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w:t>
            </w:r>
          </w:p>
        </w:tc>
        <w:tc>
          <w:tcPr>
            <w:tcW w:w="2827" w:type="dxa"/>
            <w:vAlign w:val="center"/>
          </w:tcPr>
          <w:p w14:paraId="56C8495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w:t>
            </w:r>
          </w:p>
        </w:tc>
      </w:tr>
      <w:tr w14:paraId="690E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B8E44C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标准品&amp;样品稀释液</w:t>
            </w:r>
          </w:p>
        </w:tc>
        <w:tc>
          <w:tcPr>
            <w:tcW w:w="2927" w:type="dxa"/>
            <w:vAlign w:val="center"/>
          </w:tcPr>
          <w:p w14:paraId="2E70CC7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3CC585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122F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96BBFB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w:t>
            </w:r>
          </w:p>
        </w:tc>
        <w:tc>
          <w:tcPr>
            <w:tcW w:w="2927" w:type="dxa"/>
            <w:vAlign w:val="center"/>
          </w:tcPr>
          <w:p w14:paraId="0233EC8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103D0B4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5F53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3365" w:type="dxa"/>
            <w:vAlign w:val="center"/>
          </w:tcPr>
          <w:p w14:paraId="7C5A8C7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抗体稀释液</w:t>
            </w:r>
          </w:p>
        </w:tc>
        <w:tc>
          <w:tcPr>
            <w:tcW w:w="2927" w:type="dxa"/>
            <w:vAlign w:val="center"/>
          </w:tcPr>
          <w:p w14:paraId="25F3CAC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45914DB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728A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10FA95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p>
        </w:tc>
        <w:tc>
          <w:tcPr>
            <w:tcW w:w="2927" w:type="dxa"/>
            <w:vAlign w:val="center"/>
          </w:tcPr>
          <w:p w14:paraId="543A3C0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60B8EC4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6EEA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5669B48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r>
              <w:rPr>
                <w:rFonts w:hint="eastAsia" w:asciiTheme="minorEastAsia" w:hAnsiTheme="minorEastAsia" w:eastAsiaTheme="minorEastAsia" w:cstheme="minorEastAsia"/>
                <w:color w:val="auto"/>
                <w:sz w:val="24"/>
                <w:szCs w:val="24"/>
                <w:highlight w:val="none"/>
              </w:rPr>
              <w:t>稀释液</w:t>
            </w:r>
          </w:p>
        </w:tc>
        <w:tc>
          <w:tcPr>
            <w:tcW w:w="2927" w:type="dxa"/>
            <w:vAlign w:val="center"/>
          </w:tcPr>
          <w:p w14:paraId="3EB2ED9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15C35F3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4FD4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E947B3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TMB显色液A</w:t>
            </w:r>
          </w:p>
        </w:tc>
        <w:tc>
          <w:tcPr>
            <w:tcW w:w="2927" w:type="dxa"/>
            <w:vAlign w:val="center"/>
          </w:tcPr>
          <w:p w14:paraId="3BEF33C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3DF6F46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67D1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7B98240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TMB显色液B</w:t>
            </w:r>
          </w:p>
        </w:tc>
        <w:tc>
          <w:tcPr>
            <w:tcW w:w="2927" w:type="dxa"/>
            <w:vAlign w:val="center"/>
          </w:tcPr>
          <w:p w14:paraId="7576CCF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42728B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450F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25C6D11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终止液</w:t>
            </w:r>
          </w:p>
        </w:tc>
        <w:tc>
          <w:tcPr>
            <w:tcW w:w="2927" w:type="dxa"/>
            <w:vAlign w:val="center"/>
          </w:tcPr>
          <w:p w14:paraId="332BEF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E2555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1F7B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4D2F8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20×浓缩洗涤液</w:t>
            </w:r>
          </w:p>
        </w:tc>
        <w:tc>
          <w:tcPr>
            <w:tcW w:w="2927" w:type="dxa"/>
            <w:vAlign w:val="center"/>
          </w:tcPr>
          <w:p w14:paraId="071E62D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63C9BA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r>
              <w:rPr>
                <w:rFonts w:hint="eastAsia" w:asciiTheme="minorEastAsia" w:hAnsiTheme="minorEastAsia" w:eastAsiaTheme="minorEastAsia" w:cstheme="minorEastAsia"/>
                <w:color w:val="auto"/>
                <w:sz w:val="24"/>
                <w:szCs w:val="24"/>
                <w:highlight w:val="none"/>
              </w:rPr>
              <w:t>×2</w:t>
            </w:r>
          </w:p>
        </w:tc>
      </w:tr>
      <w:tr w14:paraId="5390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444631D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封板胶纸</w:t>
            </w:r>
          </w:p>
        </w:tc>
        <w:tc>
          <w:tcPr>
            <w:tcW w:w="2927" w:type="dxa"/>
            <w:vAlign w:val="center"/>
          </w:tcPr>
          <w:p w14:paraId="6252E6E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2张</w:t>
            </w:r>
          </w:p>
        </w:tc>
        <w:tc>
          <w:tcPr>
            <w:tcW w:w="2827" w:type="dxa"/>
            <w:vAlign w:val="center"/>
          </w:tcPr>
          <w:p w14:paraId="7E49674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4张</w:t>
            </w:r>
          </w:p>
        </w:tc>
      </w:tr>
      <w:tr w14:paraId="1712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3365" w:type="dxa"/>
            <w:tcBorders>
              <w:bottom w:val="single" w:color="auto" w:sz="4" w:space="0"/>
            </w:tcBorders>
            <w:vAlign w:val="center"/>
          </w:tcPr>
          <w:p w14:paraId="3AA00D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产品说明书</w:t>
            </w:r>
          </w:p>
        </w:tc>
        <w:tc>
          <w:tcPr>
            <w:tcW w:w="2927" w:type="dxa"/>
            <w:tcBorders>
              <w:bottom w:val="single" w:color="auto" w:sz="4" w:space="0"/>
            </w:tcBorders>
            <w:vAlign w:val="center"/>
          </w:tcPr>
          <w:p w14:paraId="74A3527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c>
          <w:tcPr>
            <w:tcW w:w="2827" w:type="dxa"/>
            <w:tcBorders>
              <w:bottom w:val="single" w:color="auto" w:sz="4" w:space="0"/>
            </w:tcBorders>
            <w:vAlign w:val="center"/>
          </w:tcPr>
          <w:p w14:paraId="642090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r>
    </w:tbl>
    <w:p w14:paraId="3C73D0BA">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240" w:lineRule="auto"/>
        <w:textAlignment w:val="auto"/>
        <w:rPr>
          <w:rFonts w:hint="default" w:ascii="宋体" w:hAnsi="宋体" w:eastAsia="宋体" w:cs="宋体"/>
          <w:b/>
          <w:bCs/>
          <w:color w:val="auto"/>
          <w:sz w:val="28"/>
          <w:szCs w:val="28"/>
          <w:highlight w:val="none"/>
          <w:lang w:val="en-US" w:eastAsia="zh-CN"/>
        </w:rPr>
      </w:pPr>
    </w:p>
    <w:p w14:paraId="5B0DED54">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8"/>
          <w:szCs w:val="28"/>
          <w:highlight w:val="none"/>
          <w:lang w:val="en-US" w:eastAsia="zh-CN"/>
        </w:rPr>
      </w:pPr>
      <w:r>
        <w:rPr>
          <w:rFonts w:hint="eastAsia"/>
        </w:rPr>
        <w:drawing>
          <wp:anchor distT="0" distB="0" distL="114300" distR="114300" simplePos="0" relativeHeight="251667456" behindDoc="1" locked="0" layoutInCell="1" allowOverlap="1">
            <wp:simplePos x="0" y="0"/>
            <wp:positionH relativeFrom="column">
              <wp:posOffset>-335280</wp:posOffset>
            </wp:positionH>
            <wp:positionV relativeFrom="page">
              <wp:posOffset>955675</wp:posOffset>
            </wp:positionV>
            <wp:extent cx="6737985" cy="8682355"/>
            <wp:effectExtent l="0" t="0" r="5715" b="4445"/>
            <wp:wrapNone/>
            <wp:docPr id="7" name="图片 7"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bCs/>
          <w:color w:val="auto"/>
          <w:sz w:val="28"/>
          <w:szCs w:val="28"/>
          <w:highlight w:val="none"/>
          <w:lang w:val="en-US" w:eastAsia="zh-CN"/>
        </w:rPr>
        <w:t>保存：</w:t>
      </w:r>
    </w:p>
    <w:p w14:paraId="1BFE253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本试剂盒应于 2-8℃保存，有效期 6 个月</w:t>
      </w:r>
    </w:p>
    <w:p w14:paraId="4651017A">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4"/>
          <w:szCs w:val="24"/>
          <w:highlight w:val="none"/>
          <w:lang w:val="en-US" w:eastAsia="zh-CN"/>
        </w:rPr>
      </w:pPr>
    </w:p>
    <w:p w14:paraId="7168527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实验所需自备试验器材</w:t>
      </w:r>
      <w:r>
        <w:rPr>
          <w:rFonts w:hint="eastAsia" w:ascii="宋体" w:hAnsi="宋体" w:eastAsia="宋体" w:cs="宋体"/>
          <w:b/>
          <w:bCs/>
          <w:color w:val="auto"/>
          <w:sz w:val="28"/>
          <w:szCs w:val="28"/>
          <w:highlight w:val="none"/>
          <w:lang w:eastAsia="zh-CN"/>
        </w:rPr>
        <w:t>：</w:t>
      </w:r>
    </w:p>
    <w:p w14:paraId="09A7CC5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 酶标仪（可测量450nm检测波长的吸收值）</w:t>
      </w:r>
    </w:p>
    <w:p w14:paraId="694E603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4.2 高精度加液器及一次性吸头 </w:t>
      </w:r>
    </w:p>
    <w:p w14:paraId="5E8E948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 蒸馏水或去离子水</w:t>
      </w:r>
    </w:p>
    <w:p w14:paraId="1F143F9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4.4 37℃恒温箱</w:t>
      </w:r>
    </w:p>
    <w:p w14:paraId="312D52D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4.5 多通道洗板器或自动洗板机</w:t>
      </w:r>
    </w:p>
    <w:p w14:paraId="40EC1C2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color w:val="auto"/>
          <w:sz w:val="24"/>
          <w:szCs w:val="24"/>
          <w:highlight w:val="none"/>
        </w:rPr>
      </w:pPr>
    </w:p>
    <w:p w14:paraId="0685EBC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稀释方案</w:t>
      </w:r>
      <w:r>
        <w:rPr>
          <w:rFonts w:hint="eastAsia" w:ascii="宋体" w:hAnsi="宋体" w:eastAsia="宋体" w:cs="宋体"/>
          <w:b/>
          <w:bCs/>
          <w:color w:val="auto"/>
          <w:sz w:val="28"/>
          <w:szCs w:val="28"/>
          <w:highlight w:val="none"/>
          <w:lang w:val="en-US" w:eastAsia="zh-CN"/>
        </w:rPr>
        <w:t>：</w:t>
      </w:r>
    </w:p>
    <w:p w14:paraId="49EC884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由于</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存在个体差异，请提前预估</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的浓度范围，并通过预实验确定待检</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的稀释倍数。如果您的</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需要稀释，通用稀释方案参考如下：</w:t>
      </w:r>
    </w:p>
    <w:p w14:paraId="58078FE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 倍：</w:t>
      </w:r>
      <w:r>
        <w:rPr>
          <w:rFonts w:ascii="宋体" w:hAnsi="宋体" w:eastAsia="宋体" w:cs="宋体"/>
          <w:color w:val="auto"/>
          <w:sz w:val="24"/>
          <w:szCs w:val="24"/>
          <w:highlight w:val="none"/>
        </w:rPr>
        <w:t>一步稀释。取5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到495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稀释液内，做100倍稀释；</w:t>
      </w:r>
    </w:p>
    <w:p w14:paraId="475322F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1000 倍：</w:t>
      </w:r>
      <w:r>
        <w:rPr>
          <w:rFonts w:ascii="宋体" w:hAnsi="宋体" w:eastAsia="宋体" w:cs="宋体"/>
          <w:color w:val="auto"/>
          <w:sz w:val="24"/>
          <w:szCs w:val="24"/>
          <w:highlight w:val="none"/>
        </w:rPr>
        <w:t>两步稀释。取5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稀释液内，做20倍稀释，再取5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 xml:space="preserve"> 20倍稀释</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到245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稀释液内，做50倍稀释，总共稀释1000倍；</w:t>
      </w:r>
    </w:p>
    <w:p w14:paraId="5BD6145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每步稀释时取液量不少于3</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，稀释倍数不超过100倍。每步稀释都需混合均匀，避免起泡。</w:t>
      </w:r>
    </w:p>
    <w:p w14:paraId="6D4143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color w:val="auto"/>
          <w:sz w:val="24"/>
          <w:szCs w:val="24"/>
          <w:highlight w:val="none"/>
        </w:rPr>
      </w:pPr>
    </w:p>
    <w:p w14:paraId="3F41C75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处理及保存</w:t>
      </w:r>
      <w:r>
        <w:rPr>
          <w:rFonts w:hint="eastAsia" w:ascii="宋体" w:hAnsi="宋体" w:eastAsia="宋体" w:cs="宋体"/>
          <w:b/>
          <w:bCs/>
          <w:color w:val="auto"/>
          <w:sz w:val="28"/>
          <w:szCs w:val="28"/>
          <w:highlight w:val="none"/>
          <w:lang w:val="en-US" w:eastAsia="zh-CN"/>
        </w:rPr>
        <w:t>：</w:t>
      </w:r>
    </w:p>
    <w:p w14:paraId="6530D43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样品收集后若在1周内进行检测可保存于2-8℃，若不能及时检测，请按一次使用量分装，冻存于-20℃(1个月内检测)，或-80℃(3个月内检测)，避免反复冻融。在检测前，冷冻过的</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应缓慢地融化并离心除去冻融过程产生的沉淀物。室温混匀后使用。</w:t>
      </w:r>
    </w:p>
    <w:p w14:paraId="72A5C657">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6.1 </w:t>
      </w:r>
      <w:r>
        <w:rPr>
          <w:rFonts w:ascii="宋体" w:hAnsi="宋体" w:eastAsia="宋体" w:cs="宋体"/>
          <w:b w:val="0"/>
          <w:bCs w:val="0"/>
          <w:color w:val="auto"/>
          <w:sz w:val="24"/>
          <w:szCs w:val="24"/>
          <w:highlight w:val="none"/>
        </w:rPr>
        <w:t>血清：</w:t>
      </w:r>
      <w:r>
        <w:rPr>
          <w:rFonts w:hint="eastAsia" w:ascii="宋体" w:hAnsi="宋体" w:eastAsia="宋体" w:cs="宋体"/>
          <w:color w:val="auto"/>
          <w:sz w:val="24"/>
          <w:szCs w:val="24"/>
          <w:highlight w:val="none"/>
        </w:rPr>
        <w:t>使用血清分离管收集</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在室温下</w:t>
      </w:r>
      <w:r>
        <w:rPr>
          <w:rFonts w:hint="eastAsia" w:ascii="宋体" w:hAnsi="宋体" w:eastAsia="宋体" w:cs="宋体"/>
          <w:color w:val="auto"/>
          <w:sz w:val="24"/>
          <w:szCs w:val="24"/>
          <w:highlight w:val="none"/>
          <w:lang w:val="en-US" w:eastAsia="zh-CN"/>
        </w:rPr>
        <w:t>放置</w:t>
      </w:r>
      <w:r>
        <w:rPr>
          <w:rFonts w:hint="eastAsia" w:ascii="宋体" w:hAnsi="宋体" w:eastAsia="宋体" w:cs="宋体"/>
          <w:color w:val="auto"/>
          <w:sz w:val="24"/>
          <w:szCs w:val="24"/>
          <w:highlight w:val="none"/>
        </w:rPr>
        <w:t>30分钟，然后以</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 xml:space="preserve"> 离心15分钟。立即取出血清并进行检测，或将样品分装并保存在-20℃以下，避免反复冻融。</w:t>
      </w:r>
    </w:p>
    <w:p w14:paraId="42A66D5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6.2 </w:t>
      </w:r>
      <w:r>
        <w:rPr>
          <w:rFonts w:ascii="宋体" w:hAnsi="宋体" w:eastAsia="宋体" w:cs="宋体"/>
          <w:b w:val="0"/>
          <w:bCs w:val="0"/>
          <w:color w:val="auto"/>
          <w:sz w:val="24"/>
          <w:szCs w:val="24"/>
          <w:highlight w:val="none"/>
        </w:rPr>
        <w:t>血浆：</w:t>
      </w:r>
      <w:r>
        <w:rPr>
          <w:rFonts w:hint="eastAsia" w:ascii="宋体" w:hAnsi="宋体" w:eastAsia="宋体" w:cs="宋体"/>
          <w:color w:val="auto"/>
          <w:sz w:val="24"/>
          <w:szCs w:val="24"/>
          <w:highlight w:val="none"/>
        </w:rPr>
        <w:t>使用EDTA或肝素作为抗凝血剂收集血浆。在收集后的30分钟内，以</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离心15分钟。立即取出血浆并进行检测，或将样品分装并保存在-20℃以下，避免反复冻融。</w:t>
      </w:r>
    </w:p>
    <w:p w14:paraId="247737B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56" w:leftChars="0" w:hanging="356" w:hangingChars="162"/>
        <w:rPr>
          <w:rFonts w:ascii="宋体" w:hAnsi="宋体" w:eastAsia="宋体" w:cs="宋体"/>
          <w:color w:val="auto"/>
          <w:sz w:val="24"/>
          <w:szCs w:val="24"/>
          <w:highlight w:val="none"/>
        </w:rPr>
      </w:pPr>
      <w:r>
        <w:rPr>
          <w:rFonts w:hint="eastAsia"/>
        </w:rPr>
        <w:drawing>
          <wp:anchor distT="0" distB="0" distL="114300" distR="114300" simplePos="0" relativeHeight="251666432" behindDoc="1" locked="0" layoutInCell="1" allowOverlap="1">
            <wp:simplePos x="0" y="0"/>
            <wp:positionH relativeFrom="column">
              <wp:posOffset>-335280</wp:posOffset>
            </wp:positionH>
            <wp:positionV relativeFrom="page">
              <wp:posOffset>955675</wp:posOffset>
            </wp:positionV>
            <wp:extent cx="6737985" cy="8682355"/>
            <wp:effectExtent l="0" t="0" r="5715" b="4445"/>
            <wp:wrapNone/>
            <wp:docPr id="6" name="图片 6"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val="0"/>
          <w:bCs w:val="0"/>
          <w:color w:val="auto"/>
          <w:sz w:val="24"/>
          <w:szCs w:val="24"/>
          <w:highlight w:val="none"/>
          <w:lang w:val="en-US" w:eastAsia="zh-CN"/>
        </w:rPr>
        <w:t xml:space="preserve">6.3 </w:t>
      </w:r>
      <w:r>
        <w:rPr>
          <w:rFonts w:ascii="宋体" w:hAnsi="宋体" w:eastAsia="宋体" w:cs="宋体"/>
          <w:b w:val="0"/>
          <w:bCs w:val="0"/>
          <w:color w:val="auto"/>
          <w:sz w:val="24"/>
          <w:szCs w:val="24"/>
          <w:highlight w:val="none"/>
        </w:rPr>
        <w:t>组织匀浆</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用预冷的PBS</w:t>
      </w:r>
      <w:r>
        <w:rPr>
          <w:rFonts w:ascii="宋体" w:hAnsi="宋体" w:eastAsia="宋体" w:cs="宋体"/>
          <w:color w:val="auto"/>
          <w:sz w:val="24"/>
          <w:szCs w:val="24"/>
          <w:highlight w:val="none"/>
        </w:rPr>
        <w:t>(0.01M, pH=7.4)</w:t>
      </w:r>
      <w:r>
        <w:rPr>
          <w:rFonts w:hint="eastAsia" w:ascii="宋体" w:hAnsi="宋体" w:eastAsia="宋体" w:cs="宋体"/>
          <w:color w:val="auto"/>
          <w:sz w:val="24"/>
          <w:szCs w:val="24"/>
          <w:highlight w:val="none"/>
        </w:rPr>
        <w:t>冲洗以去除残留血液。称重后剪碎组织，按1:9（w/v）比例加入PBS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，放入玻璃匀浆器中冰上研磨。为提高裂解效率，可超声破碎或反复冻融。最后，</w:t>
      </w:r>
      <w:r>
        <w:rPr>
          <w:rFonts w:ascii="宋体" w:hAnsi="宋体" w:eastAsia="宋体" w:cs="宋体"/>
          <w:color w:val="auto"/>
          <w:sz w:val="24"/>
          <w:szCs w:val="24"/>
          <w:highlight w:val="none"/>
        </w:rPr>
        <w:t>将匀浆液于</w:t>
      </w:r>
      <w:r>
        <w:rPr>
          <w:rFonts w:hint="eastAsia" w:ascii="宋体" w:hAnsi="宋体" w:eastAsia="宋体" w:cs="宋体"/>
          <w:color w:val="auto"/>
          <w:sz w:val="24"/>
          <w:szCs w:val="24"/>
          <w:highlight w:val="none"/>
        </w:rPr>
        <w:t>5000×g离心5-10分钟，立即取出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清并进行检测，或将样品分装并保存在-20℃以下，避免反复冻融。</w:t>
      </w:r>
    </w:p>
    <w:p w14:paraId="2D5D1A01">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6.4 </w:t>
      </w:r>
      <w:r>
        <w:rPr>
          <w:rFonts w:ascii="宋体" w:hAnsi="宋体" w:eastAsia="宋体" w:cs="宋体"/>
          <w:b w:val="0"/>
          <w:bCs w:val="0"/>
          <w:color w:val="auto"/>
          <w:sz w:val="24"/>
          <w:szCs w:val="24"/>
          <w:highlight w:val="none"/>
        </w:rPr>
        <w:t>细胞培养物上清：</w:t>
      </w:r>
      <w:r>
        <w:rPr>
          <w:rFonts w:ascii="宋体" w:hAnsi="宋体" w:eastAsia="宋体" w:cs="宋体"/>
          <w:color w:val="auto"/>
          <w:sz w:val="24"/>
          <w:szCs w:val="24"/>
          <w:highlight w:val="none"/>
        </w:rPr>
        <w:t>1000×g离心20分钟</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去除颗粒，立即取出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清并进行检测，或将样品分装并保存在-20℃以下，避免反复冻融。</w:t>
      </w:r>
    </w:p>
    <w:p w14:paraId="44221150">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6.5 </w:t>
      </w:r>
      <w:r>
        <w:rPr>
          <w:rFonts w:ascii="宋体" w:hAnsi="宋体" w:eastAsia="宋体" w:cs="宋体"/>
          <w:b w:val="0"/>
          <w:bCs w:val="0"/>
          <w:color w:val="auto"/>
          <w:sz w:val="24"/>
          <w:szCs w:val="24"/>
          <w:highlight w:val="none"/>
        </w:rPr>
        <w:t>细胞裂解液：</w:t>
      </w:r>
      <w:r>
        <w:rPr>
          <w:rFonts w:hint="eastAsia" w:ascii="宋体" w:hAnsi="宋体" w:eastAsia="宋体" w:cs="宋体"/>
          <w:color w:val="auto"/>
          <w:sz w:val="24"/>
          <w:szCs w:val="24"/>
          <w:highlight w:val="none"/>
        </w:rPr>
        <w:t>贴壁细胞经预冷PBS清洗后，胰蛋白酶消化并1000×g离心5分钟收集；悬浮细胞直接离心收集。收集的细胞用预冷PBS清洗3次，每1×10^6个细胞加150-200μL</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PBS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重悬，</w:t>
      </w:r>
      <w:r>
        <w:rPr>
          <w:rFonts w:hint="eastAsia" w:ascii="宋体" w:hAnsi="宋体" w:eastAsia="宋体" w:cs="宋体"/>
          <w:color w:val="auto"/>
          <w:sz w:val="24"/>
          <w:szCs w:val="24"/>
          <w:highlight w:val="none"/>
          <w:lang w:val="en-US" w:eastAsia="zh-CN"/>
        </w:rPr>
        <w:t>反复</w:t>
      </w:r>
      <w:r>
        <w:rPr>
          <w:rFonts w:hint="eastAsia" w:ascii="宋体" w:hAnsi="宋体" w:eastAsia="宋体" w:cs="宋体"/>
          <w:color w:val="auto"/>
          <w:sz w:val="24"/>
          <w:szCs w:val="24"/>
          <w:highlight w:val="none"/>
        </w:rPr>
        <w:t>冻融或超声</w:t>
      </w:r>
      <w:r>
        <w:rPr>
          <w:rFonts w:hint="eastAsia" w:ascii="宋体" w:hAnsi="宋体" w:eastAsia="宋体" w:cs="宋体"/>
          <w:color w:val="auto"/>
          <w:sz w:val="24"/>
          <w:szCs w:val="24"/>
          <w:highlight w:val="none"/>
          <w:lang w:val="en-US" w:eastAsia="zh-CN"/>
        </w:rPr>
        <w:t>细胞</w:t>
      </w:r>
      <w:r>
        <w:rPr>
          <w:rFonts w:hint="eastAsia" w:ascii="宋体" w:hAnsi="宋体" w:eastAsia="宋体" w:cs="宋体"/>
          <w:color w:val="auto"/>
          <w:sz w:val="24"/>
          <w:szCs w:val="24"/>
          <w:highlight w:val="none"/>
        </w:rPr>
        <w:t>破碎。最后，2-8℃</w:t>
      </w: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500×g离心10分钟，取上清检测。</w:t>
      </w:r>
    </w:p>
    <w:p w14:paraId="349C7B66">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6.6 </w:t>
      </w:r>
      <w:r>
        <w:rPr>
          <w:rFonts w:ascii="宋体" w:hAnsi="宋体" w:eastAsia="宋体" w:cs="宋体"/>
          <w:b w:val="0"/>
          <w:bCs w:val="0"/>
          <w:color w:val="auto"/>
          <w:sz w:val="24"/>
          <w:szCs w:val="24"/>
          <w:highlight w:val="none"/>
        </w:rPr>
        <w:t>其它生物</w:t>
      </w:r>
      <w:r>
        <w:rPr>
          <w:rFonts w:hint="eastAsia" w:ascii="宋体" w:hAnsi="宋体" w:eastAsia="宋体" w:cs="宋体"/>
          <w:b w:val="0"/>
          <w:bCs w:val="0"/>
          <w:color w:val="auto"/>
          <w:sz w:val="24"/>
          <w:szCs w:val="24"/>
          <w:highlight w:val="none"/>
          <w:lang w:eastAsia="zh-CN"/>
        </w:rPr>
        <w:t>样品</w:t>
      </w:r>
      <w:r>
        <w:rPr>
          <w:rFonts w:ascii="宋体" w:hAnsi="宋体" w:eastAsia="宋体" w:cs="宋体"/>
          <w:b w:val="0"/>
          <w:bCs w:val="0"/>
          <w:color w:val="auto"/>
          <w:sz w:val="24"/>
          <w:szCs w:val="24"/>
          <w:highlight w:val="none"/>
        </w:rPr>
        <w:t>：</w:t>
      </w:r>
      <w:r>
        <w:rPr>
          <w:rFonts w:ascii="宋体" w:hAnsi="宋体" w:eastAsia="宋体" w:cs="宋体"/>
          <w:color w:val="auto"/>
          <w:sz w:val="24"/>
          <w:szCs w:val="24"/>
          <w:highlight w:val="none"/>
        </w:rPr>
        <w:t>1000×g离心20分钟，取上清即可检测。</w:t>
      </w:r>
    </w:p>
    <w:p w14:paraId="237F1896">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p>
    <w:p w14:paraId="0A3C9F8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7、</w:t>
      </w:r>
      <w:r>
        <w:rPr>
          <w:rFonts w:ascii="宋体" w:hAnsi="宋体" w:eastAsia="宋体" w:cs="宋体"/>
          <w:b/>
          <w:bCs/>
          <w:color w:val="auto"/>
          <w:sz w:val="28"/>
          <w:szCs w:val="28"/>
          <w:highlight w:val="none"/>
        </w:rPr>
        <w:t>检测前试剂准备</w:t>
      </w:r>
      <w:r>
        <w:rPr>
          <w:rFonts w:hint="eastAsia" w:ascii="宋体" w:hAnsi="宋体" w:eastAsia="宋体" w:cs="宋体"/>
          <w:b/>
          <w:bCs/>
          <w:color w:val="auto"/>
          <w:sz w:val="28"/>
          <w:szCs w:val="28"/>
          <w:highlight w:val="none"/>
          <w:lang w:eastAsia="zh-CN"/>
        </w:rPr>
        <w:t>：</w:t>
      </w:r>
    </w:p>
    <w:p w14:paraId="48B0B7F9">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宋体"/>
          <w:color w:val="auto"/>
          <w:sz w:val="24"/>
          <w:szCs w:val="24"/>
          <w:highlight w:val="none"/>
          <w:lang w:val="en-US" w:eastAsia="zh-CN"/>
        </w:rPr>
        <w:t xml:space="preserve">7.1 </w:t>
      </w:r>
      <w:r>
        <w:rPr>
          <w:rFonts w:ascii="宋体" w:hAnsi="宋体" w:eastAsia="宋体" w:cs="宋体"/>
          <w:color w:val="auto"/>
          <w:sz w:val="24"/>
          <w:szCs w:val="24"/>
          <w:highlight w:val="none"/>
        </w:rPr>
        <w:t>提前</w:t>
      </w:r>
      <w:r>
        <w:rPr>
          <w:rFonts w:ascii="宋体" w:hAnsi="宋体" w:eastAsia="宋体" w:cs="Arial"/>
          <w:b/>
          <w:color w:val="auto"/>
          <w:sz w:val="24"/>
          <w:szCs w:val="24"/>
          <w:highlight w:val="none"/>
        </w:rPr>
        <w:t>20</w:t>
      </w:r>
      <w:r>
        <w:rPr>
          <w:rFonts w:ascii="宋体" w:hAnsi="宋体" w:eastAsia="宋体" w:cs="宋体"/>
          <w:color w:val="auto"/>
          <w:sz w:val="24"/>
          <w:szCs w:val="24"/>
          <w:highlight w:val="none"/>
        </w:rPr>
        <w:t>分钟从冰箱中取出试剂盒</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平衡至室温。如果试剂盒需分多次使用，请仅取出本次实验所需的酶标板条和试剂，剩余板条和试剂需按照指定条件保存。读数前</w:t>
      </w:r>
      <w:r>
        <w:rPr>
          <w:rFonts w:ascii="宋体" w:hAnsi="宋体" w:eastAsia="宋体" w:cs="Arial"/>
          <w:b/>
          <w:color w:val="auto"/>
          <w:sz w:val="24"/>
          <w:szCs w:val="24"/>
          <w:highlight w:val="none"/>
        </w:rPr>
        <w:t>15</w:t>
      </w:r>
      <w:r>
        <w:rPr>
          <w:rFonts w:ascii="宋体" w:hAnsi="宋体" w:eastAsia="宋体" w:cs="宋体"/>
          <w:color w:val="auto"/>
          <w:sz w:val="24"/>
          <w:szCs w:val="24"/>
          <w:highlight w:val="none"/>
        </w:rPr>
        <w:t>分钟打开酶标仪预热。</w:t>
      </w:r>
    </w:p>
    <w:p w14:paraId="1DBCD742">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Arial"/>
          <w:color w:val="auto"/>
          <w:sz w:val="24"/>
          <w:szCs w:val="24"/>
          <w:highlight w:val="none"/>
          <w:lang w:val="en-US" w:eastAsia="zh-CN"/>
        </w:rPr>
        <w:t xml:space="preserve">7.2 </w:t>
      </w:r>
      <w:r>
        <w:rPr>
          <w:rFonts w:hint="eastAsia" w:ascii="宋体" w:hAnsi="宋体" w:eastAsia="宋体" w:cs="Arial"/>
          <w:color w:val="auto"/>
          <w:sz w:val="24"/>
          <w:szCs w:val="24"/>
          <w:highlight w:val="none"/>
        </w:rPr>
        <w:t>洗涤液配</w:t>
      </w:r>
      <w:r>
        <w:rPr>
          <w:rFonts w:hint="eastAsia" w:ascii="宋体" w:hAnsi="宋体" w:eastAsia="宋体" w:cs="宋体"/>
          <w:color w:val="auto"/>
          <w:sz w:val="24"/>
          <w:szCs w:val="24"/>
          <w:highlight w:val="none"/>
          <w:lang w:eastAsia="zh-Hans"/>
        </w:rPr>
        <w:t>制</w:t>
      </w:r>
      <w:r>
        <w:rPr>
          <w:rFonts w:hint="eastAsia" w:ascii="宋体" w:hAnsi="宋体" w:eastAsia="宋体" w:cs="Arial"/>
          <w:color w:val="auto"/>
          <w:sz w:val="24"/>
          <w:szCs w:val="24"/>
          <w:highlight w:val="none"/>
        </w:rPr>
        <w:t>：用蒸馏水1:20稀释（例：1</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浓缩洗涤液加入19</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的蒸馏水）。从冰箱中取出的浓缩洗涤液可能有结晶，属于正常现象，可用40℃水浴</w:t>
      </w:r>
      <w:r>
        <w:rPr>
          <w:rFonts w:hint="eastAsia" w:ascii="宋体" w:hAnsi="宋体" w:eastAsia="宋体" w:cs="Arial"/>
          <w:color w:val="auto"/>
          <w:sz w:val="24"/>
          <w:szCs w:val="24"/>
          <w:highlight w:val="none"/>
          <w:lang w:eastAsia="zh-CN"/>
        </w:rPr>
        <w:t>，</w:t>
      </w:r>
      <w:r>
        <w:rPr>
          <w:rFonts w:hint="eastAsia" w:ascii="宋体" w:hAnsi="宋体" w:eastAsia="宋体" w:cs="Arial"/>
          <w:color w:val="auto"/>
          <w:sz w:val="24"/>
          <w:szCs w:val="24"/>
          <w:highlight w:val="none"/>
          <w:lang w:val="en-US" w:eastAsia="zh-CN"/>
        </w:rPr>
        <w:t>稍</w:t>
      </w:r>
      <w:r>
        <w:rPr>
          <w:rFonts w:hint="eastAsia" w:ascii="宋体" w:hAnsi="宋体" w:eastAsia="宋体" w:cs="Arial"/>
          <w:color w:val="auto"/>
          <w:sz w:val="24"/>
          <w:szCs w:val="24"/>
          <w:highlight w:val="none"/>
        </w:rPr>
        <w:t>微加热使结晶完全溶解后再配制洗涤液。当日使用。</w:t>
      </w:r>
    </w:p>
    <w:p w14:paraId="30CA7DB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80" w:leftChars="0" w:hanging="480" w:hangingChars="20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w:t>
      </w:r>
      <w:r>
        <w:rPr>
          <w:rFonts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Hans"/>
        </w:rPr>
        <w:t>准品配制：试剂盒中取出标准品</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加入</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样品稀释液溶解，盖好后室温静置大约10分钟。取</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个1.5</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离心管</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分别标注S</w:t>
      </w:r>
      <w:r>
        <w:rPr>
          <w:rFonts w:ascii="宋体" w:hAnsi="宋体" w:eastAsia="宋体" w:cs="宋体"/>
          <w:color w:val="auto"/>
          <w:sz w:val="24"/>
          <w:szCs w:val="24"/>
          <w:highlight w:val="none"/>
          <w:lang w:eastAsia="zh-Hans"/>
        </w:rPr>
        <w:t>6</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5</w:t>
      </w:r>
      <w:r>
        <w:rPr>
          <w:rFonts w:hint="eastAsia" w:ascii="宋体" w:hAnsi="宋体" w:eastAsia="宋体" w:cs="宋体"/>
          <w:color w:val="auto"/>
          <w:sz w:val="24"/>
          <w:szCs w:val="24"/>
          <w:highlight w:val="none"/>
          <w:lang w:eastAsia="zh-Hans"/>
        </w:rPr>
        <w:t>,S4,S</w:t>
      </w:r>
      <w:r>
        <w:rPr>
          <w:rFonts w:ascii="宋体" w:hAnsi="宋体" w:eastAsia="宋体" w:cs="宋体"/>
          <w:color w:val="auto"/>
          <w:sz w:val="24"/>
          <w:szCs w:val="24"/>
          <w:highlight w:val="none"/>
          <w:lang w:eastAsia="zh-Hans"/>
        </w:rPr>
        <w:t>3</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Hans"/>
        </w:rPr>
        <w:t>,</w:t>
      </w:r>
      <w:r>
        <w:rPr>
          <w:rFonts w:ascii="宋体" w:hAnsi="宋体" w:eastAsia="宋体" w:cs="宋体"/>
          <w:color w:val="auto"/>
          <w:sz w:val="24"/>
          <w:szCs w:val="24"/>
          <w:highlight w:val="none"/>
          <w:lang w:eastAsia="zh-Hans"/>
        </w:rPr>
        <w:t>S0</w:t>
      </w:r>
      <w:r>
        <w:rPr>
          <w:rFonts w:hint="eastAsia" w:ascii="宋体" w:hAnsi="宋体" w:eastAsia="宋体" w:cs="宋体"/>
          <w:color w:val="auto"/>
          <w:sz w:val="24"/>
          <w:szCs w:val="24"/>
          <w:highlight w:val="none"/>
          <w:lang w:eastAsia="zh-Hans"/>
        </w:rPr>
        <w:t>后每管各加入</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样品稀释液。从S</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标准品到第一个离心管</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中，轻轻吹打混匀。从</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到第二个</w:t>
      </w:r>
      <w:r>
        <w:rPr>
          <w:rFonts w:ascii="宋体" w:hAnsi="宋体" w:eastAsia="宋体" w:cs="宋体"/>
          <w:color w:val="auto"/>
          <w:sz w:val="24"/>
          <w:szCs w:val="24"/>
          <w:highlight w:val="none"/>
          <w:lang w:eastAsia="zh-Hans"/>
        </w:rPr>
        <w:t>EP</w:t>
      </w:r>
      <w:r>
        <w:rPr>
          <w:rFonts w:hint="eastAsia" w:ascii="宋体" w:hAnsi="宋体" w:eastAsia="宋体" w:cs="宋体"/>
          <w:color w:val="auto"/>
          <w:sz w:val="24"/>
          <w:szCs w:val="24"/>
          <w:highlight w:val="none"/>
          <w:lang w:eastAsia="zh-Hans"/>
        </w:rPr>
        <w:t>管中</w:t>
      </w:r>
      <w:r>
        <w:rPr>
          <w:rFonts w:ascii="宋体" w:hAnsi="宋体" w:eastAsia="宋体" w:cs="宋体"/>
          <w:color w:val="auto"/>
          <w:sz w:val="24"/>
          <w:szCs w:val="24"/>
          <w:highlight w:val="none"/>
          <w:lang w:eastAsia="zh-Hans"/>
        </w:rPr>
        <w:t>(S5)</w:t>
      </w:r>
      <w:r>
        <w:rPr>
          <w:rFonts w:hint="eastAsia" w:ascii="宋体" w:hAnsi="宋体" w:eastAsia="宋体" w:cs="宋体"/>
          <w:color w:val="auto"/>
          <w:sz w:val="24"/>
          <w:szCs w:val="24"/>
          <w:highlight w:val="none"/>
          <w:lang w:eastAsia="zh-Hans"/>
        </w:rPr>
        <w:t>，轻轻吹打混匀。依次倍比</w:t>
      </w:r>
      <w:bookmarkStart w:id="0" w:name="_GoBack"/>
      <w:bookmarkEnd w:id="0"/>
      <w:r>
        <w:rPr>
          <w:rFonts w:hint="eastAsia" w:ascii="宋体" w:hAnsi="宋体" w:eastAsia="宋体" w:cs="宋体"/>
          <w:color w:val="auto"/>
          <w:sz w:val="24"/>
          <w:szCs w:val="24"/>
          <w:highlight w:val="none"/>
          <w:lang w:eastAsia="zh-Hans"/>
        </w:rPr>
        <w:t>稀释</w:t>
      </w:r>
      <w:r>
        <w:rPr>
          <w:rFonts w:hint="eastAsia" w:ascii="宋体" w:hAnsi="宋体" w:eastAsia="宋体" w:cs="宋体"/>
          <w:color w:val="auto"/>
          <w:sz w:val="24"/>
          <w:szCs w:val="24"/>
          <w:highlight w:val="none"/>
        </w:rPr>
        <w:t>浓度为</w:t>
      </w:r>
      <w:r>
        <w:rPr>
          <w:rFonts w:hint="eastAsia" w:ascii="宋体" w:hAnsi="宋体" w:eastAsia="宋体" w:cs="宋体"/>
          <w:color w:val="auto"/>
          <w:sz w:val="24"/>
          <w:szCs w:val="24"/>
          <w:highlight w:val="none"/>
          <w:lang w:val="en-US" w:eastAsia="zh-CN"/>
        </w:rPr>
        <w:t>220</w:t>
      </w:r>
      <w:r>
        <w:rPr>
          <w:rFonts w:hint="eastAsia" w:ascii="宋体" w:hAnsi="宋体" w:eastAsia="宋体" w:cs="宋体"/>
          <w:color w:val="auto"/>
          <w:sz w:val="24"/>
          <w:szCs w:val="24"/>
          <w:highlight w:val="none"/>
          <w:lang w:eastAsia="zh-CN"/>
        </w:rPr>
        <w:t>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110</w:t>
      </w:r>
      <w:r>
        <w:rPr>
          <w:rFonts w:hint="eastAsia" w:ascii="宋体" w:hAnsi="宋体" w:eastAsia="宋体" w:cs="宋体"/>
          <w:color w:val="auto"/>
          <w:sz w:val="24"/>
          <w:szCs w:val="24"/>
          <w:highlight w:val="none"/>
          <w:lang w:eastAsia="zh-CN"/>
        </w:rPr>
        <w:t>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27.5</w:t>
      </w:r>
      <w:r>
        <w:rPr>
          <w:rFonts w:hint="eastAsia" w:ascii="宋体" w:hAnsi="宋体" w:eastAsia="宋体" w:cs="宋体"/>
          <w:color w:val="auto"/>
          <w:sz w:val="24"/>
          <w:szCs w:val="24"/>
          <w:highlight w:val="none"/>
          <w:lang w:eastAsia="zh-CN"/>
        </w:rPr>
        <w:t>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13.75</w:t>
      </w:r>
      <w:r>
        <w:rPr>
          <w:rFonts w:hint="eastAsia" w:ascii="宋体" w:hAnsi="宋体" w:eastAsia="宋体" w:cs="宋体"/>
          <w:color w:val="auto"/>
          <w:sz w:val="24"/>
          <w:szCs w:val="24"/>
          <w:highlight w:val="none"/>
          <w:lang w:eastAsia="zh-CN"/>
        </w:rPr>
        <w:t>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6.87</w:t>
      </w:r>
      <w:r>
        <w:rPr>
          <w:rFonts w:hint="eastAsia" w:ascii="宋体" w:hAnsi="宋体" w:eastAsia="宋体" w:cs="宋体"/>
          <w:color w:val="auto"/>
          <w:sz w:val="24"/>
          <w:szCs w:val="24"/>
          <w:highlight w:val="none"/>
          <w:lang w:eastAsia="zh-CN"/>
        </w:rPr>
        <w:t>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3.43</w:t>
      </w:r>
      <w:r>
        <w:rPr>
          <w:rFonts w:hint="eastAsia" w:ascii="宋体" w:hAnsi="宋体" w:eastAsia="宋体" w:cs="宋体"/>
          <w:color w:val="auto"/>
          <w:sz w:val="24"/>
          <w:szCs w:val="24"/>
          <w:highlight w:val="none"/>
          <w:lang w:eastAsia="zh-CN"/>
        </w:rPr>
        <w:t>pg/mL。</w:t>
      </w:r>
      <w:r>
        <w:rPr>
          <w:rFonts w:hint="eastAsia" w:ascii="宋体" w:hAnsi="宋体" w:eastAsia="宋体" w:cs="宋体"/>
          <w:color w:val="auto"/>
          <w:sz w:val="24"/>
          <w:szCs w:val="24"/>
          <w:highlight w:val="none"/>
        </w:rPr>
        <w:t>以此类推进行标准品的倍比稀释。S0为标准品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稀释液(0 pg/mL)。</w:t>
      </w:r>
    </w:p>
    <w:p w14:paraId="5A03BA36">
      <w:pPr>
        <w:keepNext w:val="0"/>
        <w:keepLines w:val="0"/>
        <w:pageBreakBefore w:val="0"/>
        <w:widowControl/>
        <w:tabs>
          <w:tab w:val="left" w:pos="860"/>
        </w:tabs>
        <w:kinsoku/>
        <w:wordWrap/>
        <w:overflowPunct/>
        <w:topLinePunct w:val="0"/>
        <w:autoSpaceDE/>
        <w:autoSpaceDN/>
        <w:bidi w:val="0"/>
        <w:adjustRightInd w:val="0"/>
        <w:snapToGrid w:val="0"/>
        <w:spacing w:beforeAutospacing="0" w:after="0" w:afterAutospacing="0" w:line="360" w:lineRule="auto"/>
        <w:jc w:val="both"/>
        <w:textAlignment w:val="auto"/>
        <w:rPr>
          <w:rFonts w:ascii="宋体" w:hAnsi="宋体" w:eastAsia="宋体" w:cs="Arial"/>
          <w:color w:val="auto"/>
          <w:sz w:val="24"/>
          <w:szCs w:val="24"/>
          <w:highlight w:val="none"/>
          <w:lang w:eastAsia="zh-Hans"/>
        </w:rPr>
      </w:pPr>
      <w:r>
        <w:rPr>
          <w:rFonts w:ascii="宋体" w:hAnsi="宋体" w:eastAsia="宋体" w:cs="Arial"/>
          <w:color w:val="auto"/>
          <w:sz w:val="24"/>
          <w:szCs w:val="24"/>
          <w:highlight w:val="none"/>
          <w:lang w:eastAsia="zh-Hans"/>
        </w:rPr>
        <w:drawing>
          <wp:inline distT="0" distB="0" distL="114300" distR="114300">
            <wp:extent cx="5756910" cy="2187575"/>
            <wp:effectExtent l="0" t="0" r="15240" b="3175"/>
            <wp:docPr id="12" name="图片 2" descr="b8836e7b3c63426b219fcb7dbf839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b8836e7b3c63426b219fcb7dbf839d0e"/>
                    <pic:cNvPicPr>
                      <a:picLocks noChangeAspect="1"/>
                    </pic:cNvPicPr>
                  </pic:nvPicPr>
                  <pic:blipFill>
                    <a:blip r:embed="rId8"/>
                    <a:srcRect l="-4590" t="20687" r="318" b="27757"/>
                    <a:stretch>
                      <a:fillRect/>
                    </a:stretch>
                  </pic:blipFill>
                  <pic:spPr>
                    <a:xfrm>
                      <a:off x="0" y="0"/>
                      <a:ext cx="5756910" cy="2187575"/>
                    </a:xfrm>
                    <a:prstGeom prst="rect">
                      <a:avLst/>
                    </a:prstGeom>
                  </pic:spPr>
                </pic:pic>
              </a:graphicData>
            </a:graphic>
          </wp:inline>
        </w:drawing>
      </w:r>
    </w:p>
    <w:p w14:paraId="5061F681">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40" w:leftChars="0" w:hanging="440" w:hangingChars="200"/>
        <w:jc w:val="both"/>
        <w:textAlignment w:val="auto"/>
        <w:rPr>
          <w:rFonts w:ascii="宋体" w:hAnsi="宋体" w:eastAsia="宋体" w:cs="Arial"/>
          <w:color w:val="auto"/>
          <w:sz w:val="24"/>
          <w:szCs w:val="24"/>
          <w:highlight w:val="none"/>
        </w:rPr>
      </w:pPr>
      <w:r>
        <w:rPr>
          <w:rFonts w:hint="eastAsia"/>
        </w:rPr>
        <w:drawing>
          <wp:anchor distT="0" distB="0" distL="114300" distR="114300" simplePos="0" relativeHeight="251665408" behindDoc="1" locked="0" layoutInCell="1" allowOverlap="1">
            <wp:simplePos x="0" y="0"/>
            <wp:positionH relativeFrom="column">
              <wp:posOffset>-335280</wp:posOffset>
            </wp:positionH>
            <wp:positionV relativeFrom="page">
              <wp:posOffset>955675</wp:posOffset>
            </wp:positionV>
            <wp:extent cx="6737985" cy="8682355"/>
            <wp:effectExtent l="0" t="0" r="5715" b="4445"/>
            <wp:wrapNone/>
            <wp:docPr id="13" name="图片 1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color w:val="auto"/>
          <w:sz w:val="24"/>
          <w:szCs w:val="24"/>
          <w:highlight w:val="none"/>
          <w:lang w:val="en-US" w:eastAsia="zh-CN"/>
        </w:rPr>
        <w:t xml:space="preserve">7.4 </w:t>
      </w:r>
      <w:r>
        <w:rPr>
          <w:rFonts w:ascii="宋体" w:hAnsi="宋体" w:eastAsia="宋体" w:cs="宋体"/>
          <w:color w:val="auto"/>
          <w:sz w:val="24"/>
          <w:szCs w:val="24"/>
          <w:highlight w:val="none"/>
        </w:rPr>
        <w:t>生物素</w:t>
      </w:r>
      <w:r>
        <w:rPr>
          <w:rFonts w:hint="eastAsia" w:ascii="宋体" w:hAnsi="宋体" w:eastAsia="宋体" w:cs="宋体"/>
          <w:color w:val="auto"/>
          <w:sz w:val="24"/>
          <w:szCs w:val="24"/>
          <w:highlight w:val="none"/>
          <w:lang w:eastAsia="zh-Hans"/>
        </w:rPr>
        <w:t>标记</w:t>
      </w:r>
      <w:r>
        <w:rPr>
          <w:rFonts w:ascii="宋体" w:hAnsi="宋体" w:eastAsia="宋体" w:cs="宋体"/>
          <w:color w:val="auto"/>
          <w:sz w:val="24"/>
          <w:szCs w:val="24"/>
          <w:highlight w:val="none"/>
        </w:rPr>
        <w:t>抗体工作液配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：使用前20分钟，以</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稀释液将100×浓缩</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4383F77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lang w:eastAsia="zh-Hans"/>
        </w:rPr>
        <w:t>酶结合物</w:t>
      </w:r>
      <w:r>
        <w:rPr>
          <w:rFonts w:ascii="宋体" w:hAnsi="宋体" w:eastAsia="宋体" w:cs="宋体"/>
          <w:color w:val="auto"/>
          <w:sz w:val="24"/>
          <w:szCs w:val="24"/>
          <w:highlight w:val="none"/>
        </w:rPr>
        <w:t>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w:t>
      </w:r>
      <w:r>
        <w:rPr>
          <w:rFonts w:ascii="宋体" w:hAnsi="宋体" w:eastAsia="宋体" w:cs="Arial"/>
          <w:color w:val="auto"/>
          <w:sz w:val="24"/>
          <w:szCs w:val="24"/>
          <w:highlight w:val="none"/>
        </w:rPr>
        <w:t>20</w:t>
      </w:r>
      <w:r>
        <w:rPr>
          <w:rFonts w:ascii="宋体" w:hAnsi="宋体" w:eastAsia="宋体" w:cs="宋体"/>
          <w:color w:val="auto"/>
          <w:sz w:val="24"/>
          <w:szCs w:val="24"/>
          <w:highlight w:val="none"/>
        </w:rPr>
        <w:t>分钟</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以酶结合物稀释液将100×浓缩酶结合物稀释成1×工作浓度(例如：10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445ECD4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7.6 </w:t>
      </w:r>
      <w:r>
        <w:rPr>
          <w:rFonts w:ascii="宋体" w:hAnsi="宋体" w:eastAsia="宋体" w:cs="宋体"/>
          <w:color w:val="auto"/>
          <w:sz w:val="24"/>
          <w:szCs w:val="24"/>
          <w:highlight w:val="none"/>
        </w:rPr>
        <w:t>TMB显色液的配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：使用前10分钟，将TMB显色液A液和B液1：1混合，避光放置备用。</w:t>
      </w:r>
    </w:p>
    <w:p w14:paraId="0AE692F2">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240" w:lineRule="auto"/>
        <w:ind w:leftChars="0"/>
        <w:jc w:val="both"/>
        <w:textAlignment w:val="auto"/>
        <w:rPr>
          <w:rFonts w:ascii="宋体" w:hAnsi="宋体" w:eastAsia="宋体" w:cs="宋体"/>
          <w:color w:val="auto"/>
          <w:sz w:val="24"/>
          <w:szCs w:val="24"/>
          <w:highlight w:val="none"/>
        </w:rPr>
      </w:pPr>
    </w:p>
    <w:p w14:paraId="78D44829">
      <w:pPr>
        <w:keepNext w:val="0"/>
        <w:keepLines w:val="0"/>
        <w:pageBreakBefore w:val="0"/>
        <w:widowControl/>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操作步骤</w:t>
      </w:r>
      <w:r>
        <w:rPr>
          <w:rFonts w:hint="eastAsia" w:ascii="宋体" w:hAnsi="宋体" w:eastAsia="宋体" w:cs="宋体"/>
          <w:b/>
          <w:bCs/>
          <w:color w:val="auto"/>
          <w:sz w:val="28"/>
          <w:szCs w:val="28"/>
          <w:highlight w:val="none"/>
          <w:lang w:eastAsia="zh-CN"/>
        </w:rPr>
        <w:t>：</w:t>
      </w:r>
    </w:p>
    <w:p w14:paraId="5D4BAE7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80" w:leftChars="5" w:hanging="369" w:hangingChars="154"/>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8.1 </w:t>
      </w:r>
      <w:r>
        <w:rPr>
          <w:rFonts w:hint="eastAsia" w:asciiTheme="minorEastAsia" w:hAnsiTheme="minorEastAsia" w:eastAsiaTheme="minorEastAsia" w:cstheme="minorEastAsia"/>
          <w:color w:val="auto"/>
          <w:sz w:val="24"/>
          <w:szCs w:val="24"/>
          <w:highlight w:val="none"/>
        </w:rPr>
        <w:t>加样：分别将样品或不同浓度标准品按照100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每孔加入相应孔中，空白孔加入100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标准品</w:t>
      </w:r>
      <w:r>
        <w:rPr>
          <w:rFonts w:hint="eastAsia" w:asciiTheme="minorEastAsia" w:hAnsiTheme="minorEastAsia" w:eastAsiaTheme="minorEastAsia" w:cstheme="minorEastAsia"/>
          <w:color w:val="auto"/>
          <w:sz w:val="24"/>
          <w:szCs w:val="24"/>
          <w:highlight w:val="none"/>
          <w:lang w:val="en-US" w:eastAsia="zh-CN"/>
        </w:rPr>
        <w:t>&amp;</w:t>
      </w:r>
      <w:r>
        <w:rPr>
          <w:rFonts w:hint="eastAsia" w:asciiTheme="minorEastAsia" w:hAnsiTheme="minorEastAsia" w:eastAsiaTheme="minorEastAsia" w:cstheme="minorEastAsia"/>
          <w:color w:val="auto"/>
          <w:sz w:val="24"/>
          <w:szCs w:val="24"/>
          <w:highlight w:val="none"/>
        </w:rPr>
        <w:t>样品稀释液。盖上封板膜后37℃温育60分钟。（</w:t>
      </w:r>
      <w:r>
        <w:rPr>
          <w:rFonts w:hint="eastAsia" w:asciiTheme="minorEastAsia" w:hAnsiTheme="minorEastAsia" w:eastAsiaTheme="minorEastAsia" w:cstheme="minorEastAsia"/>
          <w:b/>
          <w:bCs/>
          <w:color w:val="auto"/>
          <w:sz w:val="24"/>
          <w:szCs w:val="24"/>
          <w:highlight w:val="none"/>
        </w:rPr>
        <w:t>建议：将待测</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用标准品&amp;样品稀释液最低稀释1倍后再加入酶标板内测试。从而减少基质效应对测试结果的影响，最后计算</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浓度时需乘以对应的稀释倍数</w:t>
      </w:r>
      <w:r>
        <w:rPr>
          <w:rFonts w:hint="eastAsia" w:asciiTheme="minorEastAsia" w:hAnsiTheme="minorEastAsia" w:eastAsiaTheme="minorEastAsia" w:cstheme="minorEastAsia"/>
          <w:color w:val="auto"/>
          <w:sz w:val="24"/>
          <w:szCs w:val="24"/>
          <w:highlight w:val="none"/>
        </w:rPr>
        <w:t>。</w:t>
      </w:r>
      <w:r>
        <w:rPr>
          <w:rFonts w:hint="default" w:asciiTheme="minorEastAsia" w:hAnsiTheme="minorEastAsia" w:eastAsiaTheme="minorEastAsia" w:cstheme="minorEastAsia"/>
          <w:color w:val="auto"/>
          <w:sz w:val="24"/>
          <w:szCs w:val="24"/>
          <w:highlight w:val="none"/>
          <w:lang w:val="en-US"/>
        </w:rPr>
        <w:t>)</w:t>
      </w:r>
    </w:p>
    <w:p w14:paraId="5E40A99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8.2 </w:t>
      </w:r>
      <w:r>
        <w:rPr>
          <w:rFonts w:hint="eastAsia" w:asciiTheme="minorEastAsia" w:hAnsiTheme="minorEastAsia" w:eastAsiaTheme="minorEastAsia" w:cstheme="minorEastAsia"/>
          <w:color w:val="auto"/>
          <w:sz w:val="24"/>
          <w:szCs w:val="24"/>
          <w:highlight w:val="none"/>
        </w:rPr>
        <w:t>弃液：弃去液体，甩干，不用洗涤。</w:t>
      </w:r>
    </w:p>
    <w:p w14:paraId="4655986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8.3 </w:t>
      </w:r>
      <w:r>
        <w:rPr>
          <w:rFonts w:hint="eastAsia" w:asciiTheme="minorEastAsia" w:hAnsiTheme="minorEastAsia" w:eastAsiaTheme="minorEastAsia" w:cstheme="minorEastAsia"/>
          <w:color w:val="auto"/>
          <w:sz w:val="24"/>
          <w:szCs w:val="24"/>
          <w:highlight w:val="none"/>
          <w:lang w:eastAsia="zh-Hans"/>
        </w:rPr>
        <w:t>加生物素标记抗体：每孔加入100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eastAsia="zh-Hans"/>
        </w:rPr>
        <w:t>生物素标记抗体工作液，混匀后置37℃温育60分钟。</w:t>
      </w:r>
    </w:p>
    <w:p w14:paraId="5BD007F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8.4</w:t>
      </w:r>
      <w:r>
        <w:rPr>
          <w:rFonts w:hint="eastAsia" w:asciiTheme="minorEastAsia" w:hAnsiTheme="minorEastAsia" w:eastAsiaTheme="minorEastAsia" w:cstheme="minorEastAsia"/>
          <w:color w:val="auto"/>
          <w:sz w:val="24"/>
          <w:szCs w:val="24"/>
          <w:highlight w:val="none"/>
        </w:rPr>
        <w:t>洗板：用1×洗涤液将反应板充分洗涤4-6次，每孔加入350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 xml:space="preserve"> 1×洗</w:t>
      </w:r>
      <w:r>
        <w:rPr>
          <w:rFonts w:hint="eastAsia" w:asciiTheme="minorEastAsia" w:hAnsiTheme="minorEastAsia" w:eastAsiaTheme="minorEastAsia" w:cstheme="minorEastAsia"/>
          <w:color w:val="auto"/>
          <w:sz w:val="24"/>
          <w:szCs w:val="24"/>
          <w:highlight w:val="none"/>
          <w:lang w:val="en-US" w:eastAsia="zh-CN"/>
        </w:rPr>
        <w:t>涤</w:t>
      </w:r>
      <w:r>
        <w:rPr>
          <w:rFonts w:hint="eastAsia" w:asciiTheme="minorEastAsia" w:hAnsiTheme="minorEastAsia" w:eastAsiaTheme="minorEastAsia" w:cstheme="minorEastAsia"/>
          <w:color w:val="auto"/>
          <w:sz w:val="24"/>
          <w:szCs w:val="24"/>
          <w:highlight w:val="none"/>
        </w:rPr>
        <w:t>液，每次震荡/浸泡1-2分钟，在滤纸上拍干。</w:t>
      </w:r>
    </w:p>
    <w:p w14:paraId="6E0CD3A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8.5 </w:t>
      </w:r>
      <w:r>
        <w:rPr>
          <w:rFonts w:hint="eastAsia" w:asciiTheme="minorEastAsia" w:hAnsiTheme="minorEastAsia" w:eastAsiaTheme="minorEastAsia" w:cstheme="minorEastAsia"/>
          <w:color w:val="auto"/>
          <w:sz w:val="24"/>
          <w:szCs w:val="24"/>
          <w:highlight w:val="none"/>
        </w:rPr>
        <w:t>加酶结合物：每孔加入100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酶结合物工作液，混匀后置37℃温育30分钟。</w:t>
      </w:r>
    </w:p>
    <w:p w14:paraId="582CC881">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8.6 </w:t>
      </w:r>
      <w:r>
        <w:rPr>
          <w:rFonts w:hint="eastAsia" w:asciiTheme="minorEastAsia" w:hAnsiTheme="minorEastAsia" w:eastAsiaTheme="minorEastAsia" w:cstheme="minorEastAsia"/>
          <w:color w:val="auto"/>
          <w:sz w:val="24"/>
          <w:szCs w:val="24"/>
          <w:highlight w:val="none"/>
        </w:rPr>
        <w:t>洗板：同步骤4。</w:t>
      </w:r>
    </w:p>
    <w:p w14:paraId="6AD2B3F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6" w:leftChars="5" w:hanging="385" w:hangingChars="175"/>
        <w:jc w:val="both"/>
        <w:textAlignment w:val="auto"/>
        <w:rPr>
          <w:rFonts w:asciiTheme="minorEastAsia" w:hAnsiTheme="minorEastAsia" w:eastAsiaTheme="minorEastAsia" w:cstheme="minorEastAsia"/>
          <w:color w:val="auto"/>
          <w:sz w:val="24"/>
          <w:szCs w:val="24"/>
          <w:highlight w:val="none"/>
        </w:rPr>
      </w:pPr>
      <w:r>
        <w:rPr>
          <w:rFonts w:hint="eastAsia"/>
        </w:rPr>
        <w:drawing>
          <wp:anchor distT="0" distB="0" distL="114300" distR="114300" simplePos="0" relativeHeight="251664384" behindDoc="1" locked="0" layoutInCell="1" allowOverlap="1">
            <wp:simplePos x="0" y="0"/>
            <wp:positionH relativeFrom="column">
              <wp:posOffset>-335280</wp:posOffset>
            </wp:positionH>
            <wp:positionV relativeFrom="page">
              <wp:posOffset>955675</wp:posOffset>
            </wp:positionV>
            <wp:extent cx="6737985" cy="8682355"/>
            <wp:effectExtent l="0" t="0" r="5715" b="4445"/>
            <wp:wrapNone/>
            <wp:docPr id="3" name="图片 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sz w:val="24"/>
          <w:szCs w:val="24"/>
          <w:highlight w:val="none"/>
          <w:lang w:val="en-US" w:eastAsia="zh-CN"/>
        </w:rPr>
        <w:t xml:space="preserve">8.7 </w:t>
      </w:r>
      <w:r>
        <w:rPr>
          <w:rFonts w:hint="eastAsia" w:asciiTheme="minorEastAsia" w:hAnsiTheme="minorEastAsia" w:eastAsiaTheme="minorEastAsia" w:cstheme="minorEastAsia"/>
          <w:color w:val="auto"/>
          <w:sz w:val="24"/>
          <w:szCs w:val="24"/>
          <w:highlight w:val="none"/>
        </w:rPr>
        <w:t>加显色液：每孔加入提前配</w:t>
      </w:r>
      <w:r>
        <w:rPr>
          <w:rFonts w:hint="eastAsia" w:asciiTheme="minorEastAsia" w:hAnsiTheme="minorEastAsia" w:eastAsiaTheme="minorEastAsia" w:cstheme="minorEastAsia"/>
          <w:color w:val="auto"/>
          <w:sz w:val="24"/>
          <w:szCs w:val="24"/>
          <w:highlight w:val="none"/>
          <w:lang w:val="en-US" w:eastAsia="zh-CN"/>
        </w:rPr>
        <w:t>制</w:t>
      </w:r>
      <w:r>
        <w:rPr>
          <w:rFonts w:hint="eastAsia" w:asciiTheme="minorEastAsia" w:hAnsiTheme="minorEastAsia" w:eastAsiaTheme="minorEastAsia" w:cstheme="minorEastAsia"/>
          <w:color w:val="auto"/>
          <w:sz w:val="24"/>
          <w:szCs w:val="24"/>
          <w:highlight w:val="none"/>
        </w:rPr>
        <w:t>好的100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TMB混合液，混匀后置37℃暗处反应10-20分钟（具体显色时间根据显色结果而定）。</w:t>
      </w:r>
    </w:p>
    <w:p w14:paraId="3DAB064C">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8.8 </w:t>
      </w:r>
      <w:r>
        <w:rPr>
          <w:rFonts w:hint="eastAsia" w:asciiTheme="minorEastAsia" w:hAnsiTheme="minorEastAsia" w:eastAsiaTheme="minorEastAsia" w:cstheme="minorEastAsia"/>
          <w:color w:val="auto"/>
          <w:sz w:val="24"/>
          <w:szCs w:val="24"/>
          <w:highlight w:val="none"/>
        </w:rPr>
        <w:t>加终止液：每孔加入50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终止液，混匀，终止反应。（提示：终止液的加入顺序应尽量与底物溶液的加入顺序相同。）立即用酶标仪在450nm波长测量各孔的光密度(OD值)。</w:t>
      </w:r>
    </w:p>
    <w:p w14:paraId="047FF0D1">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p>
    <w:p w14:paraId="70A00A5A">
      <w:pPr>
        <w:keepNext w:val="0"/>
        <w:keepLines w:val="0"/>
        <w:pageBreakBefore w:val="0"/>
        <w:widowControl/>
        <w:kinsoku/>
        <w:wordWrap/>
        <w:overflowPunct/>
        <w:topLinePunct w:val="0"/>
        <w:autoSpaceDE/>
        <w:autoSpaceDN/>
        <w:bidi w:val="0"/>
        <w:adjustRightInd w:val="0"/>
        <w:snapToGrid w:val="0"/>
        <w:spacing w:before="120" w:beforeAutospacing="0" w:after="120" w:afterAutospacing="0" w:line="360" w:lineRule="auto"/>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t>结果计算</w:t>
      </w:r>
      <w:r>
        <w:rPr>
          <w:rFonts w:hint="eastAsia" w:asciiTheme="minorEastAsia" w:hAnsiTheme="minorEastAsia" w:eastAsiaTheme="minorEastAsia" w:cstheme="minorEastAsia"/>
          <w:b/>
          <w:bCs/>
          <w:color w:val="auto"/>
          <w:sz w:val="28"/>
          <w:szCs w:val="28"/>
          <w:highlight w:val="none"/>
          <w:lang w:eastAsia="zh-CN"/>
        </w:rPr>
        <w:t>：</w:t>
      </w:r>
    </w:p>
    <w:p w14:paraId="647A759E">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0" w:afterAutospacing="0" w:line="360" w:lineRule="auto"/>
        <w:ind w:left="427" w:leftChars="3" w:hanging="420" w:hangingChars="175"/>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9.1 </w:t>
      </w:r>
      <w:r>
        <w:rPr>
          <w:rFonts w:hint="eastAsia" w:asciiTheme="minorEastAsia" w:hAnsiTheme="minorEastAsia" w:eastAsiaTheme="minorEastAsia" w:cstheme="minorEastAsia"/>
          <w:color w:val="auto"/>
          <w:sz w:val="24"/>
          <w:szCs w:val="24"/>
          <w:highlight w:val="none"/>
        </w:rPr>
        <w:t>计算标准品和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复孔的平均OD值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使用计算机软件以浓度为横坐标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OD值为纵坐标</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lang w:val="en-US" w:eastAsia="zh-CN"/>
        </w:rPr>
        <w:t>双对数坐标轴上</w:t>
      </w:r>
      <w:r>
        <w:rPr>
          <w:rFonts w:hint="eastAsia" w:asciiTheme="minorEastAsia" w:hAnsiTheme="minorEastAsia" w:eastAsiaTheme="minorEastAsia" w:cstheme="minorEastAsia"/>
          <w:color w:val="auto"/>
          <w:sz w:val="24"/>
          <w:szCs w:val="24"/>
          <w:highlight w:val="none"/>
        </w:rPr>
        <w:t>作四参数逻辑曲线拟合创建标准曲线。</w:t>
      </w:r>
    </w:p>
    <w:p w14:paraId="447EE12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27" w:leftChars="3" w:hanging="420" w:hangingChars="175"/>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9.2 </w:t>
      </w:r>
      <w:r>
        <w:rPr>
          <w:rFonts w:hint="eastAsia" w:asciiTheme="minorEastAsia" w:hAnsiTheme="minorEastAsia" w:eastAsiaTheme="minorEastAsia" w:cstheme="minorEastAsia"/>
          <w:color w:val="auto"/>
          <w:sz w:val="24"/>
          <w:szCs w:val="24"/>
          <w:highlight w:val="none"/>
        </w:rPr>
        <w:t>若样品OD值高于标准曲线上限，应适当稀释后重</w:t>
      </w:r>
      <w:r>
        <w:rPr>
          <w:rFonts w:hint="eastAsia" w:asciiTheme="minorEastAsia" w:hAnsiTheme="minorEastAsia" w:eastAsiaTheme="minorEastAsia" w:cstheme="minorEastAsia"/>
          <w:color w:val="auto"/>
          <w:sz w:val="24"/>
          <w:szCs w:val="24"/>
          <w:highlight w:val="none"/>
          <w:lang w:val="en-US" w:eastAsia="zh-CN"/>
        </w:rPr>
        <w:t>新测试，</w:t>
      </w:r>
      <w:r>
        <w:rPr>
          <w:rFonts w:hint="eastAsia" w:asciiTheme="minorEastAsia" w:hAnsiTheme="minorEastAsia" w:eastAsiaTheme="minorEastAsia" w:cstheme="minorEastAsia"/>
          <w:color w:val="auto"/>
          <w:sz w:val="24"/>
          <w:szCs w:val="24"/>
          <w:highlight w:val="none"/>
        </w:rPr>
        <w:t>并在计算</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浓度时乘以相应的稀释倍数，即为</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的实际浓度。</w:t>
      </w:r>
    </w:p>
    <w:p w14:paraId="1562DFD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120" w:afterAutospacing="0" w:line="360" w:lineRule="auto"/>
        <w:ind w:left="6" w:lef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drawing>
          <wp:inline distT="0" distB="0" distL="114300" distR="114300">
            <wp:extent cx="2520315" cy="2489200"/>
            <wp:effectExtent l="0" t="0" r="13335" b="6350"/>
            <wp:docPr id="1006" name="图片 1" descr="夹心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 descr="夹心法"/>
                    <pic:cNvPicPr>
                      <a:picLocks noChangeAspect="1"/>
                    </pic:cNvPicPr>
                  </pic:nvPicPr>
                  <pic:blipFill>
                    <a:blip r:embed="rId9"/>
                    <a:stretch>
                      <a:fillRect/>
                    </a:stretch>
                  </pic:blipFill>
                  <pic:spPr>
                    <a:xfrm>
                      <a:off x="0" y="0"/>
                      <a:ext cx="2520315" cy="2489200"/>
                    </a:xfrm>
                    <a:prstGeom prst="rect">
                      <a:avLst/>
                    </a:prstGeom>
                  </pic:spPr>
                </pic:pic>
              </a:graphicData>
            </a:graphic>
          </wp:inline>
        </w:drawing>
      </w:r>
    </w:p>
    <w:p w14:paraId="4DDED2FD">
      <w:pPr>
        <w:keepNext w:val="0"/>
        <w:keepLines w:val="0"/>
        <w:pageBreakBefore w:val="0"/>
        <w:widowControl/>
        <w:kinsoku/>
        <w:wordWrap/>
        <w:overflowPunct/>
        <w:topLinePunct w:val="0"/>
        <w:autoSpaceDE/>
        <w:autoSpaceDN/>
        <w:bidi w:val="0"/>
        <w:adjustRightInd w:val="0"/>
        <w:snapToGrid w:val="0"/>
        <w:spacing w:line="360" w:lineRule="auto"/>
        <w:rPr>
          <w:rFonts w:hint="eastAsia" w:ascii="微软雅黑" w:hAnsi="微软雅黑" w:eastAsia="微软雅黑" w:cs="微软雅黑"/>
          <w:sz w:val="24"/>
          <w:szCs w:val="24"/>
          <w:highlight w:val="none"/>
        </w:rPr>
      </w:pPr>
      <w:r>
        <w:rPr>
          <w:rFonts w:hint="eastAsia"/>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w:t>
      </w:r>
      <w:r>
        <w:rPr>
          <w:rFonts w:hint="default" w:ascii="微软雅黑" w:hAnsi="微软雅黑" w:cs="微软雅黑"/>
          <w:sz w:val="24"/>
          <w:szCs w:val="24"/>
          <w:highlight w:val="none"/>
          <w:lang w:val="en-US"/>
        </w:rPr>
        <w:t xml:space="preserve">                                   </w:t>
      </w:r>
      <w:r>
        <w:rPr>
          <w:rFonts w:hint="eastAsia"/>
          <w:sz w:val="24"/>
          <w:szCs w:val="24"/>
          <w:highlight w:val="none"/>
          <w:lang w:val="en-US" w:eastAsia="zh-CN"/>
        </w:rPr>
        <w:t>（</w:t>
      </w:r>
      <w:r>
        <w:rPr>
          <w:rFonts w:hint="eastAsia" w:ascii="微软雅黑" w:hAnsi="微软雅黑" w:eastAsia="微软雅黑" w:cs="微软雅黑"/>
          <w:sz w:val="24"/>
          <w:szCs w:val="24"/>
          <w:highlight w:val="none"/>
        </w:rPr>
        <w:t>此图仅供参考）</w:t>
      </w:r>
    </w:p>
    <w:p w14:paraId="21E3F66C">
      <w:pPr>
        <w:spacing w:after="0" w:afterAutospacing="0" w:line="360"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10、注意事项</w:t>
      </w:r>
      <w:r>
        <w:rPr>
          <w:rFonts w:ascii="宋体" w:hAnsi="宋体" w:eastAsia="宋体" w:cs="宋体"/>
          <w:b/>
          <w:bCs/>
          <w:color w:val="auto"/>
          <w:sz w:val="28"/>
          <w:szCs w:val="28"/>
          <w:highlight w:val="none"/>
        </w:rPr>
        <w:t>：</w:t>
      </w:r>
    </w:p>
    <w:p w14:paraId="4540A24D">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1" w:leftChars="1" w:right="0" w:rightChars="0" w:hanging="549" w:hangingChars="229"/>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10.1 本产品仅供科学研究使用，不能用于临床诊断，如果用于临床诊断或任何其他用途，我们将不对任何后果负责。 </w:t>
      </w:r>
    </w:p>
    <w:p w14:paraId="7FA0EBDE">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4" w:leftChars="0" w:right="0" w:rightChars="0" w:hanging="554" w:hangingChars="231"/>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10.2 实验过程中请穿戴实验服、口罩和乳胶手套。请按照生物实验室的国家安全规定进行实验，尤其是在检测血样或其他体液时。 </w:t>
      </w:r>
    </w:p>
    <w:p w14:paraId="24FA53D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10.3为了实验结果的准确性，请仅使用我们提供的试剂，并且不要混用不同批次的试剂。 </w:t>
      </w:r>
    </w:p>
    <w:p w14:paraId="1CA8DE40">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10.4不同厂家的试剂盒或通过其他方法检测相同的指标结果可能有差异。</w:t>
      </w:r>
    </w:p>
    <w:p w14:paraId="782B218B">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10.5若所检样品不在说明书所列样品之中，建议做预实验验证其检测有效性。</w:t>
      </w:r>
    </w:p>
    <w:p w14:paraId="3B39D79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8" w:leftChars="0" w:right="0" w:rightChars="0" w:hanging="568" w:hangingChars="237"/>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rPr>
        <w:drawing>
          <wp:anchor distT="0" distB="0" distL="114300" distR="114300" simplePos="0" relativeHeight="251663360" behindDoc="1" locked="0" layoutInCell="1" allowOverlap="1">
            <wp:simplePos x="0" y="0"/>
            <wp:positionH relativeFrom="column">
              <wp:posOffset>-335280</wp:posOffset>
            </wp:positionH>
            <wp:positionV relativeFrom="page">
              <wp:posOffset>955675</wp:posOffset>
            </wp:positionV>
            <wp:extent cx="6737985" cy="8682355"/>
            <wp:effectExtent l="0" t="0" r="5715" b="4445"/>
            <wp:wrapNone/>
            <wp:docPr id="14" name="图片 14"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kern w:val="0"/>
          <w:sz w:val="24"/>
          <w:szCs w:val="24"/>
          <w:highlight w:val="none"/>
          <w:lang w:val="en-US" w:eastAsia="zh-CN" w:bidi="ar-SA"/>
        </w:rPr>
        <w:t>10.6若使用化学裂解液制备组织匀浆或细胞提取液，由于引入某些化学物质会导致ELISA测值出现偏差。</w:t>
      </w:r>
    </w:p>
    <w:p w14:paraId="102B4C6F">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10.7某些重组蛋白可能与试剂盒中捕获或检测抗体不匹配而出现不能检测的情况。</w:t>
      </w:r>
    </w:p>
    <w:p w14:paraId="307DC4E7">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default"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10.8为了获得可重复的结果，应严格控制实验中的每个步骤，样品收集、处理和存储的变化</w:t>
      </w:r>
      <w:r>
        <w:rPr>
          <w:rFonts w:hint="default" w:asciiTheme="minorEastAsia" w:hAnsiTheme="minorEastAsia" w:eastAsiaTheme="minorEastAsia" w:cstheme="minorEastAsia"/>
          <w:color w:val="auto"/>
          <w:kern w:val="0"/>
          <w:sz w:val="24"/>
          <w:szCs w:val="24"/>
          <w:highlight w:val="none"/>
          <w:lang w:val="en-US" w:eastAsia="zh-CN" w:bidi="ar-SA"/>
        </w:rPr>
        <w:t>也可能导致样品测量的差异。</w:t>
      </w:r>
      <w:r>
        <w:rPr>
          <w:rFonts w:hint="default" w:ascii="宋体" w:hAnsi="宋体" w:eastAsia="宋体" w:cs="宋体"/>
          <w:color w:val="auto"/>
          <w:sz w:val="24"/>
          <w:szCs w:val="24"/>
          <w:highlight w:val="none"/>
        </w:rPr>
        <w:t xml:space="preserve"> </w:t>
      </w:r>
    </w:p>
    <w:p w14:paraId="7FE71029">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eastAsia" w:ascii="宋体" w:hAnsi="宋体" w:eastAsia="宋体" w:cs="宋体"/>
          <w:color w:val="auto"/>
          <w:sz w:val="24"/>
          <w:szCs w:val="24"/>
          <w:highlight w:val="none"/>
        </w:rPr>
      </w:pPr>
    </w:p>
    <w:p w14:paraId="64A0D64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11、</w:t>
      </w:r>
      <w:r>
        <w:rPr>
          <w:rFonts w:hint="eastAsia" w:asciiTheme="minorEastAsia" w:hAnsiTheme="minorEastAsia" w:eastAsiaTheme="minorEastAsia" w:cstheme="minorEastAsia"/>
          <w:b/>
          <w:bCs/>
          <w:color w:val="auto"/>
          <w:sz w:val="28"/>
          <w:szCs w:val="28"/>
          <w:highlight w:val="none"/>
        </w:rPr>
        <w:t>问题分析</w:t>
      </w:r>
      <w:r>
        <w:rPr>
          <w:rFonts w:hint="eastAsia" w:asciiTheme="minorEastAsia" w:hAnsiTheme="minorEastAsia" w:eastAsiaTheme="minorEastAsia" w:cstheme="minorEastAsia"/>
          <w:b/>
          <w:bCs/>
          <w:color w:val="auto"/>
          <w:sz w:val="28"/>
          <w:szCs w:val="28"/>
          <w:highlight w:val="none"/>
          <w:lang w:eastAsia="zh-CN"/>
        </w:rPr>
        <w:t>：</w:t>
      </w:r>
    </w:p>
    <w:tbl>
      <w:tblPr>
        <w:tblStyle w:val="10"/>
        <w:tblW w:w="96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2999"/>
        <w:gridCol w:w="4779"/>
      </w:tblGrid>
      <w:tr w14:paraId="4CAD1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tcBorders>
              <w:bottom w:val="single" w:color="auto" w:sz="4" w:space="0"/>
            </w:tcBorders>
            <w:shd w:val="clear" w:color="auto" w:fill="auto"/>
            <w:vAlign w:val="center"/>
          </w:tcPr>
          <w:p w14:paraId="49991EEC">
            <w:pPr>
              <w:keepNext w:val="0"/>
              <w:keepLines w:val="0"/>
              <w:pageBreakBefore w:val="0"/>
              <w:widowControl/>
              <w:kinsoku/>
              <w:wordWrap/>
              <w:overflowPunct/>
              <w:topLinePunct w:val="0"/>
              <w:autoSpaceDE/>
              <w:autoSpaceDN/>
              <w:bidi w:val="0"/>
              <w:adjustRightInd w:val="0"/>
              <w:snapToGrid w:val="0"/>
              <w:spacing w:beforeAutospacing="0"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6"/>
                <w:sz w:val="24"/>
                <w:szCs w:val="24"/>
                <w:highlight w:val="none"/>
              </w:rPr>
              <w:t>问题描述</w:t>
            </w:r>
          </w:p>
        </w:tc>
        <w:tc>
          <w:tcPr>
            <w:tcW w:w="2999" w:type="dxa"/>
            <w:tcBorders>
              <w:bottom w:val="single" w:color="auto" w:sz="4" w:space="0"/>
            </w:tcBorders>
            <w:shd w:val="clear" w:color="auto" w:fill="auto"/>
            <w:vAlign w:val="center"/>
          </w:tcPr>
          <w:p w14:paraId="175F8AF5">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rPr>
              <w:t>可能原因</w:t>
            </w:r>
          </w:p>
        </w:tc>
        <w:tc>
          <w:tcPr>
            <w:tcW w:w="4779" w:type="dxa"/>
            <w:tcBorders>
              <w:bottom w:val="single" w:color="auto" w:sz="4" w:space="0"/>
            </w:tcBorders>
            <w:shd w:val="clear" w:color="auto" w:fill="auto"/>
            <w:vAlign w:val="center"/>
          </w:tcPr>
          <w:p w14:paraId="2E71FD9E">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解决方案</w:t>
            </w:r>
          </w:p>
        </w:tc>
      </w:tr>
      <w:tr w14:paraId="56374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right w:val="single" w:color="auto" w:sz="4" w:space="0"/>
            </w:tcBorders>
            <w:vAlign w:val="center"/>
          </w:tcPr>
          <w:p w14:paraId="0CB21D2F">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显色弱或无色</w:t>
            </w:r>
          </w:p>
        </w:tc>
        <w:tc>
          <w:tcPr>
            <w:tcW w:w="2999" w:type="dxa"/>
            <w:tcBorders>
              <w:top w:val="single" w:color="auto" w:sz="4" w:space="0"/>
              <w:left w:val="single" w:color="auto" w:sz="4" w:space="0"/>
              <w:bottom w:val="single" w:color="auto" w:sz="4" w:space="0"/>
              <w:right w:val="single" w:color="auto" w:sz="4" w:space="0"/>
            </w:tcBorders>
            <w:vAlign w:val="center"/>
          </w:tcPr>
          <w:p w14:paraId="500F1CC9">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孵育时间不够</w:t>
            </w:r>
          </w:p>
        </w:tc>
        <w:tc>
          <w:tcPr>
            <w:tcW w:w="4779" w:type="dxa"/>
            <w:tcBorders>
              <w:top w:val="single" w:color="auto" w:sz="4" w:space="0"/>
              <w:left w:val="single" w:color="auto" w:sz="4" w:space="0"/>
              <w:bottom w:val="single" w:color="auto" w:sz="4" w:space="0"/>
              <w:right w:val="single" w:color="auto" w:sz="4" w:space="0"/>
            </w:tcBorders>
            <w:vAlign w:val="center"/>
          </w:tcPr>
          <w:p w14:paraId="21DAB3BC">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确保孵育时间</w:t>
            </w:r>
          </w:p>
        </w:tc>
      </w:tr>
      <w:tr w14:paraId="787E8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2C8B90C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70DDB78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孵育温度不正确</w:t>
            </w:r>
          </w:p>
        </w:tc>
        <w:tc>
          <w:tcPr>
            <w:tcW w:w="4779" w:type="dxa"/>
            <w:tcBorders>
              <w:top w:val="single" w:color="auto" w:sz="4" w:space="0"/>
              <w:left w:val="single" w:color="auto" w:sz="4" w:space="0"/>
              <w:bottom w:val="single" w:color="auto" w:sz="4" w:space="0"/>
              <w:right w:val="single" w:color="auto" w:sz="4" w:space="0"/>
            </w:tcBorders>
            <w:vAlign w:val="center"/>
          </w:tcPr>
          <w:p w14:paraId="05AA96BA">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按推荐温度孵育</w:t>
            </w:r>
          </w:p>
        </w:tc>
      </w:tr>
      <w:tr w14:paraId="567A8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0176DA6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62DBE42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移液</w:t>
            </w:r>
            <w:r>
              <w:rPr>
                <w:rFonts w:hint="eastAsia" w:asciiTheme="minorEastAsia" w:hAnsiTheme="minorEastAsia" w:eastAsiaTheme="minorEastAsia" w:cstheme="minorEastAsia"/>
                <w:color w:val="auto"/>
                <w:spacing w:val="9"/>
                <w:sz w:val="24"/>
                <w:szCs w:val="24"/>
                <w:highlight w:val="none"/>
              </w:rPr>
              <w:t>体积不足</w:t>
            </w:r>
          </w:p>
        </w:tc>
        <w:tc>
          <w:tcPr>
            <w:tcW w:w="4779" w:type="dxa"/>
            <w:tcBorders>
              <w:top w:val="single" w:color="auto" w:sz="4" w:space="0"/>
              <w:left w:val="single" w:color="auto" w:sz="4" w:space="0"/>
              <w:bottom w:val="single" w:color="auto" w:sz="4" w:space="0"/>
              <w:right w:val="single" w:color="auto" w:sz="4" w:space="0"/>
            </w:tcBorders>
            <w:vAlign w:val="center"/>
          </w:tcPr>
          <w:p w14:paraId="5D5C3529">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检查移液器并严格按照操作步骤操作</w:t>
            </w:r>
          </w:p>
        </w:tc>
      </w:tr>
      <w:tr w14:paraId="30B0F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bottom w:val="single" w:color="auto" w:sz="4" w:space="0"/>
              <w:right w:val="single" w:color="auto" w:sz="4" w:space="0"/>
            </w:tcBorders>
            <w:vAlign w:val="center"/>
          </w:tcPr>
          <w:p w14:paraId="2B33AA7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60A3F3C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试剂添加顺序有误</w:t>
            </w:r>
          </w:p>
        </w:tc>
        <w:tc>
          <w:tcPr>
            <w:tcW w:w="4779" w:type="dxa"/>
            <w:tcBorders>
              <w:top w:val="single" w:color="auto" w:sz="4" w:space="0"/>
              <w:left w:val="single" w:color="auto" w:sz="4" w:space="0"/>
              <w:bottom w:val="single" w:color="auto" w:sz="4" w:space="0"/>
              <w:right w:val="single" w:color="auto" w:sz="4" w:space="0"/>
            </w:tcBorders>
            <w:vAlign w:val="center"/>
          </w:tcPr>
          <w:p w14:paraId="69D0FDB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检查试剂</w:t>
            </w:r>
            <w:r>
              <w:rPr>
                <w:rFonts w:hint="eastAsia" w:asciiTheme="minorEastAsia" w:hAnsiTheme="minorEastAsia" w:eastAsiaTheme="minorEastAsia" w:cstheme="minorEastAsia"/>
                <w:color w:val="auto"/>
                <w:spacing w:val="9"/>
                <w:sz w:val="24"/>
                <w:szCs w:val="24"/>
                <w:highlight w:val="none"/>
                <w:lang w:val="en-US" w:eastAsia="zh-CN"/>
              </w:rPr>
              <w:t>添加顺序、流程</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lang w:val="en-US" w:eastAsia="zh-CN"/>
              </w:rPr>
              <w:t>重复试验</w:t>
            </w:r>
          </w:p>
        </w:tc>
      </w:tr>
      <w:tr w14:paraId="600B2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3570840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OD</w:t>
            </w:r>
            <w:r>
              <w:rPr>
                <w:rFonts w:hint="eastAsia" w:asciiTheme="minorEastAsia" w:hAnsiTheme="minorEastAsia" w:eastAsiaTheme="minorEastAsia" w:cstheme="minorEastAsia"/>
                <w:color w:val="auto"/>
                <w:spacing w:val="5"/>
                <w:sz w:val="24"/>
                <w:szCs w:val="24"/>
                <w:highlight w:val="none"/>
              </w:rPr>
              <w:t>值低</w:t>
            </w:r>
          </w:p>
        </w:tc>
        <w:tc>
          <w:tcPr>
            <w:tcW w:w="2999" w:type="dxa"/>
            <w:tcBorders>
              <w:top w:val="single" w:color="auto" w:sz="4" w:space="0"/>
              <w:left w:val="single" w:color="auto" w:sz="4" w:space="0"/>
              <w:bottom w:val="single" w:color="auto" w:sz="4" w:space="0"/>
              <w:right w:val="single" w:color="auto" w:sz="4" w:space="0"/>
            </w:tcBorders>
            <w:vAlign w:val="center"/>
          </w:tcPr>
          <w:p w14:paraId="5ACE7BD9">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酶标仪设置不正确</w:t>
            </w:r>
          </w:p>
        </w:tc>
        <w:tc>
          <w:tcPr>
            <w:tcW w:w="4779" w:type="dxa"/>
            <w:tcBorders>
              <w:left w:val="single" w:color="auto" w:sz="4" w:space="0"/>
            </w:tcBorders>
            <w:vAlign w:val="center"/>
          </w:tcPr>
          <w:p w14:paraId="4BDE45DF">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w:t>
            </w:r>
            <w:r>
              <w:rPr>
                <w:rFonts w:hint="eastAsia" w:asciiTheme="minorEastAsia" w:hAnsiTheme="minorEastAsia" w:eastAsiaTheme="minorEastAsia" w:cstheme="minorEastAsia"/>
                <w:color w:val="auto"/>
                <w:spacing w:val="9"/>
                <w:sz w:val="24"/>
                <w:szCs w:val="24"/>
                <w:highlight w:val="none"/>
                <w:lang w:val="en-US" w:eastAsia="zh-CN"/>
              </w:rPr>
              <w:t>酶标仪</w:t>
            </w:r>
            <w:r>
              <w:rPr>
                <w:rFonts w:hint="eastAsia" w:asciiTheme="minorEastAsia" w:hAnsiTheme="minorEastAsia" w:eastAsiaTheme="minorEastAsia" w:cstheme="minorEastAsia"/>
                <w:color w:val="auto"/>
                <w:spacing w:val="9"/>
                <w:sz w:val="24"/>
                <w:szCs w:val="24"/>
                <w:highlight w:val="none"/>
              </w:rPr>
              <w:t>波长</w:t>
            </w:r>
            <w:r>
              <w:rPr>
                <w:rFonts w:hint="eastAsia" w:asciiTheme="minorEastAsia" w:hAnsiTheme="minorEastAsia" w:eastAsiaTheme="minorEastAsia" w:cstheme="minorEastAsia"/>
                <w:color w:val="auto"/>
                <w:spacing w:val="9"/>
                <w:sz w:val="24"/>
                <w:szCs w:val="24"/>
                <w:highlight w:val="none"/>
                <w:lang w:val="en-US" w:eastAsia="zh-CN"/>
              </w:rPr>
              <w:t>及滤光片设置</w:t>
            </w:r>
          </w:p>
        </w:tc>
      </w:tr>
      <w:tr w14:paraId="15D63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CE179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42B7FC1D">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读板时等待时间太长</w:t>
            </w:r>
          </w:p>
        </w:tc>
        <w:tc>
          <w:tcPr>
            <w:tcW w:w="4779" w:type="dxa"/>
            <w:tcBorders>
              <w:left w:val="single" w:color="auto" w:sz="4" w:space="0"/>
            </w:tcBorders>
            <w:vAlign w:val="center"/>
          </w:tcPr>
          <w:p w14:paraId="47244CA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及时读板</w:t>
            </w:r>
          </w:p>
        </w:tc>
      </w:tr>
      <w:tr w14:paraId="1C7D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0DBB3B2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1320DF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含量过高</w:t>
            </w:r>
          </w:p>
        </w:tc>
        <w:tc>
          <w:tcPr>
            <w:tcW w:w="4779" w:type="dxa"/>
            <w:tcBorders>
              <w:left w:val="single" w:color="auto" w:sz="4" w:space="0"/>
            </w:tcBorders>
            <w:vAlign w:val="center"/>
          </w:tcPr>
          <w:p w14:paraId="1D3D4E5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24AD9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5EC01F3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27E848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含量过低</w:t>
            </w:r>
          </w:p>
        </w:tc>
        <w:tc>
          <w:tcPr>
            <w:tcW w:w="4779" w:type="dxa"/>
            <w:tcBorders>
              <w:left w:val="single" w:color="auto" w:sz="4" w:space="0"/>
            </w:tcBorders>
            <w:vAlign w:val="center"/>
          </w:tcPr>
          <w:p w14:paraId="5FE69DB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45484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74FC36F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标准曲线</w:t>
            </w:r>
          </w:p>
          <w:p w14:paraId="627FF9C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梯度不佳</w:t>
            </w:r>
          </w:p>
        </w:tc>
        <w:tc>
          <w:tcPr>
            <w:tcW w:w="2999" w:type="dxa"/>
            <w:tcBorders>
              <w:top w:val="single" w:color="auto" w:sz="4" w:space="0"/>
              <w:left w:val="single" w:color="auto" w:sz="4" w:space="0"/>
              <w:bottom w:val="single" w:color="auto" w:sz="4" w:space="0"/>
              <w:right w:val="single" w:color="auto" w:sz="4" w:space="0"/>
            </w:tcBorders>
            <w:vAlign w:val="center"/>
          </w:tcPr>
          <w:p w14:paraId="32DD0A4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标准品稀释不正确</w:t>
            </w:r>
          </w:p>
        </w:tc>
        <w:tc>
          <w:tcPr>
            <w:tcW w:w="4779" w:type="dxa"/>
            <w:tcBorders>
              <w:top w:val="single" w:color="auto" w:sz="4" w:space="0"/>
              <w:left w:val="single" w:color="auto" w:sz="4" w:space="0"/>
              <w:bottom w:val="single" w:color="auto" w:sz="4" w:space="0"/>
              <w:right w:val="single" w:color="auto" w:sz="4" w:space="0"/>
            </w:tcBorders>
            <w:vAlign w:val="center"/>
          </w:tcPr>
          <w:p w14:paraId="184C625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确保标准品</w:t>
            </w:r>
            <w:r>
              <w:rPr>
                <w:rFonts w:hint="eastAsia" w:asciiTheme="minorEastAsia" w:hAnsiTheme="minorEastAsia" w:eastAsiaTheme="minorEastAsia" w:cstheme="minorEastAsia"/>
                <w:color w:val="auto"/>
                <w:spacing w:val="9"/>
                <w:sz w:val="24"/>
                <w:szCs w:val="24"/>
                <w:highlight w:val="none"/>
                <w:lang w:val="en-US" w:eastAsia="zh-CN"/>
              </w:rPr>
              <w:t>完全</w:t>
            </w:r>
            <w:r>
              <w:rPr>
                <w:rFonts w:hint="eastAsia" w:asciiTheme="minorEastAsia" w:hAnsiTheme="minorEastAsia" w:eastAsiaTheme="minorEastAsia" w:cstheme="minorEastAsia"/>
                <w:color w:val="auto"/>
                <w:spacing w:val="9"/>
                <w:sz w:val="24"/>
                <w:szCs w:val="24"/>
                <w:highlight w:val="none"/>
              </w:rPr>
              <w:t>溶解和</w:t>
            </w:r>
            <w:r>
              <w:rPr>
                <w:rFonts w:hint="eastAsia" w:asciiTheme="minorEastAsia" w:hAnsiTheme="minorEastAsia" w:eastAsiaTheme="minorEastAsia" w:cstheme="minorEastAsia"/>
                <w:color w:val="auto"/>
                <w:spacing w:val="7"/>
                <w:sz w:val="24"/>
                <w:szCs w:val="24"/>
                <w:highlight w:val="none"/>
              </w:rPr>
              <w:t>稀释</w:t>
            </w:r>
          </w:p>
        </w:tc>
      </w:tr>
      <w:tr w14:paraId="08571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287AA7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1B10694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移液不准确</w:t>
            </w:r>
          </w:p>
        </w:tc>
        <w:tc>
          <w:tcPr>
            <w:tcW w:w="4779" w:type="dxa"/>
            <w:tcBorders>
              <w:top w:val="single" w:color="auto" w:sz="4" w:space="0"/>
              <w:left w:val="single" w:color="auto" w:sz="4" w:space="0"/>
              <w:bottom w:val="single" w:color="auto" w:sz="4" w:space="0"/>
              <w:right w:val="single" w:color="auto" w:sz="4" w:space="0"/>
            </w:tcBorders>
            <w:vAlign w:val="center"/>
          </w:tcPr>
          <w:p w14:paraId="5671276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定期校准移液器并检查</w:t>
            </w:r>
            <w:r>
              <w:rPr>
                <w:rFonts w:hint="eastAsia" w:asciiTheme="minorEastAsia" w:hAnsiTheme="minorEastAsia" w:eastAsiaTheme="minorEastAsia" w:cstheme="minorEastAsia"/>
                <w:color w:val="auto"/>
                <w:spacing w:val="9"/>
                <w:sz w:val="24"/>
                <w:szCs w:val="24"/>
                <w:highlight w:val="none"/>
                <w:lang w:val="en-US" w:eastAsia="zh-CN"/>
              </w:rPr>
              <w:t>吸头</w:t>
            </w:r>
            <w:r>
              <w:rPr>
                <w:rFonts w:hint="eastAsia" w:asciiTheme="minorEastAsia" w:hAnsiTheme="minorEastAsia" w:eastAsiaTheme="minorEastAsia" w:cstheme="minorEastAsia"/>
                <w:color w:val="auto"/>
                <w:spacing w:val="9"/>
                <w:sz w:val="24"/>
                <w:szCs w:val="24"/>
                <w:highlight w:val="none"/>
              </w:rPr>
              <w:t>密封</w:t>
            </w:r>
            <w:r>
              <w:rPr>
                <w:rFonts w:hint="eastAsia" w:asciiTheme="minorEastAsia" w:hAnsiTheme="minorEastAsia" w:eastAsiaTheme="minorEastAsia" w:cstheme="minorEastAsia"/>
                <w:color w:val="auto"/>
                <w:spacing w:val="6"/>
                <w:sz w:val="24"/>
                <w:szCs w:val="24"/>
                <w:highlight w:val="none"/>
              </w:rPr>
              <w:t>性</w:t>
            </w:r>
          </w:p>
        </w:tc>
      </w:tr>
      <w:tr w14:paraId="14578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52BB9C8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3555DB25">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255B394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r w14:paraId="6F4A8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6494A5A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背景值高</w:t>
            </w:r>
          </w:p>
        </w:tc>
        <w:tc>
          <w:tcPr>
            <w:tcW w:w="2999" w:type="dxa"/>
            <w:tcBorders>
              <w:top w:val="single" w:color="auto" w:sz="4" w:space="0"/>
              <w:left w:val="single" w:color="auto" w:sz="4" w:space="0"/>
              <w:bottom w:val="single" w:color="auto" w:sz="4" w:space="0"/>
              <w:right w:val="single" w:color="auto" w:sz="4" w:space="0"/>
            </w:tcBorders>
            <w:vAlign w:val="center"/>
          </w:tcPr>
          <w:p w14:paraId="73C4F8A8">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显色液被污染</w:t>
            </w:r>
          </w:p>
        </w:tc>
        <w:tc>
          <w:tcPr>
            <w:tcW w:w="4779" w:type="dxa"/>
            <w:tcBorders>
              <w:top w:val="single" w:color="auto" w:sz="4" w:space="0"/>
              <w:left w:val="single" w:color="auto" w:sz="4" w:space="0"/>
              <w:bottom w:val="single" w:color="auto" w:sz="4" w:space="0"/>
              <w:right w:val="single" w:color="auto" w:sz="4" w:space="0"/>
            </w:tcBorders>
            <w:vAlign w:val="center"/>
          </w:tcPr>
          <w:p w14:paraId="0A35B2DF">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9"/>
                <w:sz w:val="24"/>
                <w:szCs w:val="24"/>
                <w:highlight w:val="none"/>
                <w:lang w:val="en-US" w:eastAsia="zh-CN"/>
              </w:rPr>
              <w:t>加液前检查显色液是否为无色透明，请勿使用变蓝的底物</w:t>
            </w:r>
          </w:p>
        </w:tc>
      </w:tr>
      <w:tr w14:paraId="34801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E21C2A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0FDE309">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显色时间太长</w:t>
            </w:r>
          </w:p>
        </w:tc>
        <w:tc>
          <w:tcPr>
            <w:tcW w:w="4779" w:type="dxa"/>
            <w:tcBorders>
              <w:top w:val="single" w:color="auto" w:sz="4" w:space="0"/>
              <w:left w:val="single" w:color="auto" w:sz="4" w:space="0"/>
              <w:bottom w:val="single" w:color="auto" w:sz="4" w:space="0"/>
              <w:right w:val="single" w:color="auto" w:sz="4" w:space="0"/>
            </w:tcBorders>
            <w:vAlign w:val="center"/>
          </w:tcPr>
          <w:p w14:paraId="68592B46">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控制显色时间</w:t>
            </w:r>
          </w:p>
        </w:tc>
      </w:tr>
      <w:tr w14:paraId="4F8F5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4E20FEF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56A28E68">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工作液</w:t>
            </w:r>
            <w:r>
              <w:rPr>
                <w:rFonts w:hint="eastAsia" w:asciiTheme="minorEastAsia" w:hAnsiTheme="minorEastAsia" w:eastAsiaTheme="minorEastAsia" w:cstheme="minorEastAsia"/>
                <w:color w:val="auto"/>
                <w:spacing w:val="9"/>
                <w:sz w:val="24"/>
                <w:szCs w:val="24"/>
                <w:highlight w:val="none"/>
              </w:rPr>
              <w:t>稀释错</w:t>
            </w:r>
            <w:r>
              <w:rPr>
                <w:rFonts w:hint="eastAsia" w:asciiTheme="minorEastAsia" w:hAnsiTheme="minorEastAsia" w:eastAsiaTheme="minorEastAsia" w:cstheme="minorEastAsia"/>
                <w:color w:val="auto"/>
                <w:spacing w:val="5"/>
                <w:sz w:val="24"/>
                <w:szCs w:val="24"/>
                <w:highlight w:val="none"/>
              </w:rPr>
              <w:t>误</w:t>
            </w:r>
          </w:p>
        </w:tc>
        <w:tc>
          <w:tcPr>
            <w:tcW w:w="4779" w:type="dxa"/>
            <w:tcBorders>
              <w:top w:val="single" w:color="auto" w:sz="4" w:space="0"/>
              <w:left w:val="single" w:color="auto" w:sz="4" w:space="0"/>
              <w:bottom w:val="single" w:color="auto" w:sz="4" w:space="0"/>
              <w:right w:val="single" w:color="auto" w:sz="4" w:space="0"/>
            </w:tcBorders>
            <w:vAlign w:val="center"/>
          </w:tcPr>
          <w:p w14:paraId="3E07B6A7">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严格按照说明书</w:t>
            </w:r>
            <w:r>
              <w:rPr>
                <w:rFonts w:hint="eastAsia" w:asciiTheme="minorEastAsia" w:hAnsiTheme="minorEastAsia" w:eastAsiaTheme="minorEastAsia" w:cstheme="minorEastAsia"/>
                <w:color w:val="auto"/>
                <w:spacing w:val="9"/>
                <w:sz w:val="24"/>
                <w:szCs w:val="24"/>
                <w:highlight w:val="none"/>
              </w:rPr>
              <w:t>稀释</w:t>
            </w:r>
          </w:p>
        </w:tc>
      </w:tr>
      <w:tr w14:paraId="25658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4179C7C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79AA7F9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185016DE">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bl>
    <w:p w14:paraId="5C3C526B">
      <w:pPr>
        <w:keepNext w:val="0"/>
        <w:keepLines w:val="0"/>
        <w:pageBreakBefore w:val="0"/>
        <w:widowControl/>
        <w:tabs>
          <w:tab w:val="left" w:pos="860"/>
        </w:tabs>
        <w:kinsoku/>
        <w:wordWrap/>
        <w:overflowPunct/>
        <w:topLinePunct w:val="0"/>
        <w:autoSpaceDE/>
        <w:autoSpaceDN/>
        <w:bidi w:val="0"/>
        <w:adjustRightInd w:val="0"/>
        <w:snapToGrid w:val="0"/>
        <w:spacing w:before="312" w:beforeLines="100" w:after="312" w:afterLines="100" w:line="240" w:lineRule="auto"/>
        <w:rPr>
          <w:rFonts w:ascii="宋体" w:hAnsi="宋体" w:eastAsia="宋体" w:cs="Arial"/>
          <w:color w:val="auto"/>
          <w:sz w:val="24"/>
          <w:szCs w:val="24"/>
          <w:highlight w:val="none"/>
        </w:rPr>
      </w:pPr>
      <w:r>
        <w:rPr>
          <w:rFonts w:hint="eastAsia"/>
        </w:rPr>
        <w:drawing>
          <wp:anchor distT="0" distB="0" distL="114300" distR="114300" simplePos="0" relativeHeight="251662336" behindDoc="1" locked="0" layoutInCell="1" allowOverlap="1">
            <wp:simplePos x="0" y="0"/>
            <wp:positionH relativeFrom="column">
              <wp:posOffset>-335280</wp:posOffset>
            </wp:positionH>
            <wp:positionV relativeFrom="page">
              <wp:posOffset>955675</wp:posOffset>
            </wp:positionV>
            <wp:extent cx="6737985" cy="8682355"/>
            <wp:effectExtent l="0" t="0" r="5715" b="4445"/>
            <wp:wrapNone/>
            <wp:docPr id="15" name="图片 15"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p>
    <w:p w14:paraId="30C39F1F">
      <w:pPr>
        <w:rPr>
          <w:rFonts w:hint="default"/>
        </w:rPr>
      </w:pPr>
    </w:p>
    <w:p w14:paraId="01D42419">
      <w:pPr>
        <w:keepNext w:val="0"/>
        <w:keepLines w:val="0"/>
        <w:pageBreakBefore w:val="0"/>
        <w:widowControl/>
        <w:tabs>
          <w:tab w:val="left" w:pos="860"/>
        </w:tabs>
        <w:kinsoku/>
        <w:wordWrap/>
        <w:overflowPunct/>
        <w:topLinePunct w:val="0"/>
        <w:autoSpaceDE/>
        <w:autoSpaceDN/>
        <w:bidi w:val="0"/>
        <w:adjustRightInd w:val="0"/>
        <w:snapToGrid w:val="0"/>
        <w:spacing w:before="312" w:beforeLines="100" w:after="312" w:afterLines="100" w:line="240" w:lineRule="auto"/>
        <w:rPr>
          <w:rFonts w:ascii="宋体" w:hAnsi="宋体" w:eastAsia="宋体" w:cs="Arial"/>
          <w:color w:val="auto"/>
          <w:sz w:val="30"/>
          <w:szCs w:val="30"/>
        </w:rPr>
      </w:pPr>
    </w:p>
    <w:sectPr>
      <w:headerReference r:id="rId4" w:type="default"/>
      <w:footerReference r:id="rId5" w:type="default"/>
      <w:pgSz w:w="11906" w:h="16838"/>
      <w:pgMar w:top="1440" w:right="1080" w:bottom="1440" w:left="1080" w:header="851" w:footer="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35A12">
    <w:pPr>
      <w:pStyle w:val="3"/>
    </w:pPr>
  </w:p>
  <w:p w14:paraId="57BF1C58">
    <w:pPr>
      <w:pStyle w:val="3"/>
    </w:pPr>
  </w:p>
  <w:p w14:paraId="38133E2D">
    <w:pPr>
      <w:pStyle w:val="3"/>
    </w:pPr>
  </w:p>
  <w:p w14:paraId="6A17CEEC">
    <w:pPr>
      <w:pStyle w:val="3"/>
    </w:pPr>
    <w:r>
      <w:drawing>
        <wp:anchor distT="0" distB="0" distL="0" distR="0" simplePos="0" relativeHeight="251660288" behindDoc="1" locked="0" layoutInCell="1" allowOverlap="1">
          <wp:simplePos x="0" y="0"/>
          <wp:positionH relativeFrom="page">
            <wp:posOffset>280035</wp:posOffset>
          </wp:positionH>
          <wp:positionV relativeFrom="page">
            <wp:posOffset>9638665</wp:posOffset>
          </wp:positionV>
          <wp:extent cx="6839585" cy="739140"/>
          <wp:effectExtent l="0" t="0" r="3175" b="7620"/>
          <wp:wrapNone/>
          <wp:docPr id="5" name="Image 1"/>
          <wp:cNvGraphicFramePr/>
          <a:graphic xmlns:a="http://schemas.openxmlformats.org/drawingml/2006/main">
            <a:graphicData uri="http://schemas.openxmlformats.org/drawingml/2006/picture">
              <pic:pic xmlns:pic="http://schemas.openxmlformats.org/drawingml/2006/picture">
                <pic:nvPicPr>
                  <pic:cNvPr id="5" name="Image 1"/>
                  <pic:cNvPicPr/>
                </pic:nvPicPr>
                <pic:blipFill>
                  <a:blip r:embed="rId1" cstate="print"/>
                  <a:stretch>
                    <a:fillRect/>
                  </a:stretch>
                </pic:blipFill>
                <pic:spPr>
                  <a:xfrm>
                    <a:off x="0" y="0"/>
                    <a:ext cx="6839585" cy="73914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BDFD">
    <w:pPr>
      <w:pStyle w:val="4"/>
    </w:pPr>
  </w:p>
  <w:p w14:paraId="4AD05750">
    <w:pPr>
      <w:pStyle w:val="4"/>
    </w:pPr>
    <w:r>
      <w:drawing>
        <wp:anchor distT="0" distB="0" distL="0" distR="0" simplePos="0" relativeHeight="251659264" behindDoc="0" locked="0" layoutInCell="1" allowOverlap="1">
          <wp:simplePos x="0" y="0"/>
          <wp:positionH relativeFrom="page">
            <wp:posOffset>304165</wp:posOffset>
          </wp:positionH>
          <wp:positionV relativeFrom="page">
            <wp:posOffset>202565</wp:posOffset>
          </wp:positionV>
          <wp:extent cx="6839585" cy="804545"/>
          <wp:effectExtent l="0" t="0" r="18415" b="14605"/>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39585" cy="8045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7F0B8"/>
    <w:multiLevelType w:val="singleLevel"/>
    <w:tmpl w:val="9957F0B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lNTZmYWYwNzM2ZjlkMmZkZmVlYjRhY2ZhZWY2YzMifQ=="/>
    <w:docVar w:name="KSO_WPS_MARK_KEY" w:val="0e57e694-c294-4dd2-a735-7f378c73ee01"/>
  </w:docVars>
  <w:rsids>
    <w:rsidRoot w:val="57C4227E"/>
    <w:rsid w:val="001309A1"/>
    <w:rsid w:val="00207D56"/>
    <w:rsid w:val="003B4BBE"/>
    <w:rsid w:val="004A5008"/>
    <w:rsid w:val="00552125"/>
    <w:rsid w:val="0083441F"/>
    <w:rsid w:val="00933A2D"/>
    <w:rsid w:val="00B5146B"/>
    <w:rsid w:val="00B65B64"/>
    <w:rsid w:val="00CE64A3"/>
    <w:rsid w:val="00D11D13"/>
    <w:rsid w:val="00E87FD3"/>
    <w:rsid w:val="00F253EC"/>
    <w:rsid w:val="01FF3BC3"/>
    <w:rsid w:val="06CF132A"/>
    <w:rsid w:val="07FC214F"/>
    <w:rsid w:val="09410F80"/>
    <w:rsid w:val="0A9C4B87"/>
    <w:rsid w:val="0B3F4299"/>
    <w:rsid w:val="0BCB5394"/>
    <w:rsid w:val="0D7B0108"/>
    <w:rsid w:val="0D814026"/>
    <w:rsid w:val="10032BB1"/>
    <w:rsid w:val="11387094"/>
    <w:rsid w:val="127476C4"/>
    <w:rsid w:val="13F90CA2"/>
    <w:rsid w:val="1BC70E80"/>
    <w:rsid w:val="1BEF8364"/>
    <w:rsid w:val="1F3120B8"/>
    <w:rsid w:val="216E4EBF"/>
    <w:rsid w:val="21E94975"/>
    <w:rsid w:val="25A22934"/>
    <w:rsid w:val="27BE06A3"/>
    <w:rsid w:val="27CD3313"/>
    <w:rsid w:val="28A15A4A"/>
    <w:rsid w:val="2942136C"/>
    <w:rsid w:val="2C274ED1"/>
    <w:rsid w:val="2C565568"/>
    <w:rsid w:val="2D263E4A"/>
    <w:rsid w:val="2D2A47D0"/>
    <w:rsid w:val="30E42053"/>
    <w:rsid w:val="311C17EC"/>
    <w:rsid w:val="32D0288E"/>
    <w:rsid w:val="37C244E6"/>
    <w:rsid w:val="3919183E"/>
    <w:rsid w:val="39E83C77"/>
    <w:rsid w:val="3AD76819"/>
    <w:rsid w:val="3BD04EBA"/>
    <w:rsid w:val="3CAC76FD"/>
    <w:rsid w:val="3E6808B7"/>
    <w:rsid w:val="3E89513C"/>
    <w:rsid w:val="44263446"/>
    <w:rsid w:val="47CE23EF"/>
    <w:rsid w:val="482728EE"/>
    <w:rsid w:val="48EA2AA2"/>
    <w:rsid w:val="4A9D2281"/>
    <w:rsid w:val="4ADB174B"/>
    <w:rsid w:val="4B5D76DF"/>
    <w:rsid w:val="50A92A8E"/>
    <w:rsid w:val="544A031B"/>
    <w:rsid w:val="54955B80"/>
    <w:rsid w:val="55A76876"/>
    <w:rsid w:val="57C4227E"/>
    <w:rsid w:val="58253C3E"/>
    <w:rsid w:val="5A355549"/>
    <w:rsid w:val="5AB810F5"/>
    <w:rsid w:val="5C190553"/>
    <w:rsid w:val="5CBD1826"/>
    <w:rsid w:val="5F3F5CB7"/>
    <w:rsid w:val="5F457217"/>
    <w:rsid w:val="5FDFAD7E"/>
    <w:rsid w:val="61C74274"/>
    <w:rsid w:val="62EC14F1"/>
    <w:rsid w:val="64AD7DEA"/>
    <w:rsid w:val="65931931"/>
    <w:rsid w:val="66212E26"/>
    <w:rsid w:val="68E5638C"/>
    <w:rsid w:val="6D771107"/>
    <w:rsid w:val="6E696CBF"/>
    <w:rsid w:val="6F3FF164"/>
    <w:rsid w:val="6FD838D9"/>
    <w:rsid w:val="706402B6"/>
    <w:rsid w:val="70F85802"/>
    <w:rsid w:val="723B0DCB"/>
    <w:rsid w:val="7CC73B3C"/>
    <w:rsid w:val="D77D5C63"/>
    <w:rsid w:val="F3FD3EBB"/>
    <w:rsid w:val="FFDF64C2"/>
    <w:rsid w:val="FFFED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Autospacing="1" w:after="0"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JL正文1"/>
    <w:basedOn w:val="1"/>
    <w:qFormat/>
    <w:uiPriority w:val="0"/>
    <w:pPr>
      <w:spacing w:line="500" w:lineRule="exact"/>
    </w:pPr>
    <w:rPr>
      <w:sz w:val="24"/>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3207</Words>
  <Characters>3690</Characters>
  <Lines>28</Lines>
  <Paragraphs>8</Paragraphs>
  <TotalTime>0</TotalTime>
  <ScaleCrop>false</ScaleCrop>
  <LinksUpToDate>false</LinksUpToDate>
  <CharactersWithSpaces>3749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2024-05-24T11:19:00Z</dcterms:created>
  <dc:creator>江莱生物.陈 13621662912</dc:creator>
  <cp:lastModifiedBy>Administrator</cp:lastModifiedBy>
  <cp:lastPrinted>2024-06-27T06:40:00Z</cp:lastPrinted>
  <dcterms:modified xsi:type="dcterms:W3CDTF">2025-04-25T01:20:38Z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C1CD490007ED431780BBE5065CF24CE1_13</vt:lpwstr>
  </property>
  <property fmtid="{D5CDD505-2E9C-101B-9397-08002B2CF9AE}" pid="4" name="KSOTemplateDocerSaveRecord">
    <vt:lpwstr>eyJoZGlkIjoiNzRlOWE4ODM2YTk3ZjljYjhkMDdkNTZkNWJkMTg0NzQifQ==</vt:lpwstr>
  </property>
</Properties>
</file>